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Brickner Samantha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MIRAMAR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GRANDVIEW AVE.,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FT. MITCHELL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E.W. SCRIPPS Co</w:t>
              </w:r>
            </w:hyperlink>
            <w:r>
              <w:rPr/>
              <w:t xml:space="preserve"> [ </w:t>
            </w:r>
            <w:r>
              <w:rPr>
                <w:rFonts w:ascii="Times;serif" w:hAnsi="Times;serif"/>
                <w:color w:val="0000FF"/>
                <w:sz w:val="24"/>
                <w:shd w:fill="FFFFFF" w:val="clear"/>
              </w:rPr>
              <w:t>SSP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$.01 par value per share Holding</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3.5346</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111,695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Voting Shares, $.01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$3.525 to $3.56,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may be deemed to beneficially own more than 10% of the Class A Common Shares of the Issuer as a party to the Second Amended and Restated Scripps Family Agreement, dated March 26, 2021 (the "Scripps Family Agreement"). The Scripps Family Agreement contains provisions governing the collective voting of the Common Voting Shares of the Issuer held by such parties, which are convertible share-for-share into Class A Common Shares and in the aggregate represent more than 10% of the Class A Common Shares of the Issuer on an as-converted basis. The reporting person filed a Schedule 13D with the Commission on January 24, 2013, as last amended on March 13,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Hurak on behalf of Miramar Services, Inc. as Attorney-In-Fact for Samantha J. Brickner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1177" TargetMode="External"/><Relationship Id="rId5" Type="http://schemas.openxmlformats.org/officeDocument/2006/relationships/hyperlink" Target="http://www.sec.gov/cgi-bin/browse-edgar?action=getcompany&amp;CIK=0000832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783</Words>
  <Characters>4148</Characters>
  <CharactersWithSpaces>4866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