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Granado Geraldine Scripps</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E.W. SCRIPPS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MIRAMAR SERVICES, INC.</w:t>
            </w:r>
          </w:p>
        </w:tc>
        <w:tc>
          <w:tcPr>
            <w:tcW w:w="1760" w:type="dxa"/>
            <w:vAlign w:val="bottom"/>
            <w:gridSpan w:val="3"/>
            <w:vMerge w:val="continue"/>
          </w:tcPr>
          <w:p>
            <w:pPr>
              <w:spacing w:after="0"/>
              <w:rPr>
                <w:sz w:val="11"/>
                <w:szCs w:val="11"/>
                <w:color w:val="auto"/>
              </w:rPr>
            </w:pPr>
          </w:p>
        </w:tc>
        <w:tc>
          <w:tcPr>
            <w:tcW w:w="2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250 GRANDVIEW AVE., SUITE 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FT. MITCHELL 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41017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8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2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Shares, $.01 par value</w:t>
            </w: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72,798</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3.5415</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right"/>
              <w:ind w:right="277"/>
              <w:spacing w:after="0"/>
              <w:rPr>
                <w:sz w:val="20"/>
                <w:szCs w:val="20"/>
                <w:color w:val="auto"/>
              </w:rPr>
            </w:pPr>
            <w:r>
              <w:rPr>
                <w:rFonts w:ascii="Times New Roman" w:cs="Times New Roman" w:eastAsia="Times New Roman" w:hAnsi="Times New Roman"/>
                <w:sz w:val="17"/>
                <w:szCs w:val="17"/>
                <w:color w:val="0000FF"/>
              </w:rPr>
              <w:t>144,902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Voting Shares, $.01 par value</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right"/>
              <w:ind w:right="437"/>
              <w:spacing w:after="0"/>
              <w:rPr>
                <w:sz w:val="20"/>
                <w:szCs w:val="20"/>
                <w:color w:val="auto"/>
              </w:rPr>
            </w:pPr>
            <w:r>
              <w:rPr>
                <w:rFonts w:ascii="Times New Roman" w:cs="Times New Roman" w:eastAsia="Times New Roman" w:hAnsi="Times New Roman"/>
                <w:sz w:val="17"/>
                <w:szCs w:val="17"/>
                <w:color w:val="0000FF"/>
              </w:rPr>
              <w:t>116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w:t>
            </w: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00" w:type="dxa"/>
            <w:vAlign w:val="bottom"/>
            <w:gridSpan w:val="10"/>
          </w:tcPr>
          <w:p>
            <w:pPr>
              <w:jc w:val="center"/>
              <w:ind w:left="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$3.459 to $3.59,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340"/>
        <w:spacing w:after="0" w:line="247" w:lineRule="auto"/>
        <w:rPr>
          <w:sz w:val="20"/>
          <w:szCs w:val="20"/>
          <w:color w:val="auto"/>
        </w:rPr>
      </w:pPr>
      <w:r>
        <w:rPr>
          <w:rFonts w:ascii="Times New Roman" w:cs="Times New Roman" w:eastAsia="Times New Roman" w:hAnsi="Times New Roman"/>
          <w:sz w:val="13"/>
          <w:szCs w:val="13"/>
          <w:color w:val="008000"/>
        </w:rPr>
        <w:t>The reporting person may be deemed to beneficially own more than 10% of the Class A Common Shares of the Issuer as a party to the Second Amended and Restated Scripps Family Agreement, dated March 26, 2021 (the "Scripps Family Agreement"). The Scripps Family Agreement contains provisions governing the collective voting of the Common Voting Shares of the Issuer held by such parties, which are convertible share-for-share into Class A Common Shares and in the aggregate represent more than 10% of the Class A Common Shares of the Issuer on an as-converted basis. The reporting person filed a Schedule 13D with the Commission on January 24, 2013, as last amended on March 13, 2026.</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Hurak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00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Miramar Services, Inc. as</w:t>
      </w:r>
      <w:r>
        <w:rPr>
          <w:sz w:val="20"/>
          <w:szCs w:val="20"/>
          <w:color w:val="auto"/>
        </w:rPr>
        <w:tab/>
      </w:r>
      <w:r>
        <w:rPr>
          <w:rFonts w:ascii="Times New Roman" w:cs="Times New Roman" w:eastAsia="Times New Roman" w:hAnsi="Times New Roman"/>
          <w:sz w:val="26"/>
          <w:szCs w:val="26"/>
          <w:color w:val="0000FF"/>
          <w:vertAlign w:val="subscript"/>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127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 for Geraldine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62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620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Scripps Granado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5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606874" TargetMode="External"/><Relationship Id="rId14" Type="http://schemas.openxmlformats.org/officeDocument/2006/relationships/hyperlink" Target="http://www.sec.gov/cgi-bin/browse-edgar?action=getcompany&amp;CIK=0000832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2026-05-15T16:31:30Z</dcterms:created>
  <dcterms:modified xsi:type="dcterms:W3CDTF">2026-05-15T16:31:30Z</dcterms:modified>
</cp:coreProperties>
</file>