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tbl>
      <w:tblPr>
        <w:tblW w:w="608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583"/>
        <w:gridCol w:w="1583"/>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001-10701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THE E.W. SCRIPPS COMPANY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5649" w:type="dxa"/>
        <w:jc w:val="left"/>
        <w:tblInd w:w="0" w:type="dxa"/>
        <w:tblLayout w:type="fixed"/>
        <w:tblCellMar>
          <w:top w:w="28" w:type="dxa"/>
          <w:left w:w="28" w:type="dxa"/>
          <w:bottom w:w="28" w:type="dxa"/>
          <w:right w:w="28" w:type="dxa"/>
        </w:tblCellMar>
      </w:tblPr>
      <w:tblGrid>
        <w:gridCol w:w="610"/>
        <w:gridCol w:w="535"/>
        <w:gridCol w:w="535"/>
        <w:gridCol w:w="535"/>
        <w:gridCol w:w="535"/>
        <w:gridCol w:w="547"/>
        <w:gridCol w:w="109"/>
        <w:gridCol w:w="109"/>
        <w:gridCol w:w="109"/>
        <w:gridCol w:w="592"/>
        <w:gridCol w:w="592"/>
        <w:gridCol w:w="841"/>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31-1223339</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Number)</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Walnut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45202</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Registrant's telephone number, including area code: (513) 977-3000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383" w:type="dxa"/>
        <w:jc w:val="left"/>
        <w:tblInd w:w="0" w:type="dxa"/>
        <w:tblLayout w:type="fixed"/>
        <w:tblCellMar>
          <w:top w:w="28" w:type="dxa"/>
          <w:left w:w="28" w:type="dxa"/>
          <w:bottom w:w="28" w:type="dxa"/>
          <w:right w:w="28" w:type="dxa"/>
        </w:tblCellMar>
      </w:tblPr>
      <w:tblGrid>
        <w:gridCol w:w="1307"/>
        <w:gridCol w:w="1146"/>
        <w:gridCol w:w="1162"/>
        <w:gridCol w:w="484"/>
        <w:gridCol w:w="484"/>
        <w:gridCol w:w="486"/>
        <w:gridCol w:w="970"/>
        <w:gridCol w:w="970"/>
        <w:gridCol w:w="1374"/>
      </w:tblGrid>
      <w:tr>
        <w:trPr/>
        <w:tc>
          <w:tcPr>
            <w:tcW w:w="13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SSP</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 As of June 30, 2026, there were 80,736,269 of the registrant’s Class A Common shares, $0.01 par value per share, outstanding and 11,932,722 of the registrant’s Common Voting shares,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Index to The E.W. Scripps Company Quarterly Report</w:t>
      </w:r>
    </w:p>
    <w:p>
      <w:pPr>
        <w:pStyle w:val="TextBody"/>
        <w:bidi w:val="0"/>
        <w:spacing w:lineRule="auto" w:line="288" w:before="0" w:after="0"/>
        <w:jc w:val="center"/>
        <w:rPr/>
      </w:pPr>
      <w:r>
        <w:rPr>
          <w:rFonts w:ascii="Times New Roman;serif" w:hAnsi="Times New Roman;serif"/>
          <w:b/>
          <w:color w:val="000000"/>
          <w:sz w:val="20"/>
        </w:rPr>
        <w:t>on Form 10-Q for the Quarter Ended June 30, 2026</w:t>
      </w:r>
      <w:r>
        <w:rPr>
          <w:color w:val="000000"/>
        </w:rPr>
        <w:t xml:space="preserve"> </w:t>
      </w:r>
    </w:p>
    <w:tbl>
      <w:tblPr>
        <w:tblW w:w="8442" w:type="dxa"/>
        <w:jc w:val="left"/>
        <w:tblInd w:w="0" w:type="dxa"/>
        <w:tblLayout w:type="fixed"/>
        <w:tblCellMar>
          <w:top w:w="28" w:type="dxa"/>
          <w:left w:w="28" w:type="dxa"/>
          <w:bottom w:w="28" w:type="dxa"/>
          <w:right w:w="28" w:type="dxa"/>
        </w:tblCellMar>
      </w:tblPr>
      <w:tblGrid>
        <w:gridCol w:w="2729"/>
        <w:gridCol w:w="2386"/>
        <w:gridCol w:w="2429"/>
        <w:gridCol w:w="109"/>
        <w:gridCol w:w="109"/>
        <w:gridCol w:w="109"/>
        <w:gridCol w:w="167"/>
        <w:gridCol w:w="167"/>
        <w:gridCol w:w="237"/>
      </w:tblGrid>
      <w:tr>
        <w:trPr/>
        <w:tc>
          <w:tcPr>
            <w:tcW w:w="272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10">
              <w:r>
                <w:rPr>
                  <w:rStyle w:val="InternetLink"/>
                  <w:rFonts w:ascii="Times New Roman;serif" w:hAnsi="Times New Roman;serif"/>
                  <w:b w:val="false"/>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2. Management's Discussion and Analysis of Financial Condition and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3. Quantitative and Qualitative Disclosures About Market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4. Controls and Procedures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PART II -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 Legal Proceedings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1A. 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0">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10">
              <w:r>
                <w:rPr>
                  <w:rStyle w:val="InternetLink"/>
                  <w:rFonts w:ascii="Times New Roman;serif" w:hAnsi="Times New Roman;serif"/>
                  <w:b w:val="false"/>
                  <w:color w:val="0000FF"/>
                  <w:sz w:val="20"/>
                  <w:u w:val="single"/>
                </w:rPr>
                <w:t>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3">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3. Defaults Upon Senior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3">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4. Mine Safety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3">
              <w:r>
                <w:rPr>
                  <w:rStyle w:val="InternetLink"/>
                  <w:rFonts w:ascii="Times New Roman;serif" w:hAnsi="Times New Roman;serif"/>
                  <w:b w:val="false"/>
                  <w:color w:val="0000FF"/>
                  <w:sz w:val="20"/>
                  <w:u w:val="single"/>
                </w:rPr>
                <w:t>3</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5.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6">
              <w:r>
                <w:rPr>
                  <w:rStyle w:val="InternetLink"/>
                  <w:rFonts w:ascii="Times New Roman;serif" w:hAnsi="Times New Roman;serif"/>
                  <w:b w:val="false"/>
                  <w:color w:val="0000FF"/>
                  <w:sz w:val="20"/>
                  <w:u w:val="single"/>
                </w:rPr>
                <w:t>4</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6.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16">
              <w:r>
                <w:rPr>
                  <w:rStyle w:val="InternetLink"/>
                  <w:rFonts w:ascii="Times New Roman;serif" w:hAnsi="Times New Roman;serif"/>
                  <w:b w:val="false"/>
                  <w:color w:val="0000FF"/>
                  <w:sz w:val="20"/>
                  <w:u w:val="single"/>
                </w:rPr>
                <w:t>4</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FF"/>
                <w:sz w:val="20"/>
                <w:u w:val="single"/>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4b57aa32c0404d9c94b0e16a7eac6a_22">
              <w:r>
                <w:rPr>
                  <w:rStyle w:val="InternetLink"/>
                  <w:rFonts w:ascii="Times New Roman;serif" w:hAnsi="Times New Roman;serif"/>
                  <w:b w:val="false"/>
                  <w:color w:val="0000FF"/>
                  <w:sz w:val="20"/>
                  <w:u w:val="single"/>
                </w:rPr>
                <w:t>5</w:t>
              </w:r>
            </w:hyperlink>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the terms “Scripps,” “Company,” “we,” “our,” or “us” may, depending on the context, refer to The E.W. Scripps Company, to one or more of its consolidated subsidiary companies, or to all of them taken as a whole.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filed as part of this Form 10-Q. See Index to Financial Information at page F-1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filed as part of this Form 10-Q. See Index to Financial Information at page F-1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filed as part of this Form 10-Q. See Index to Financial Information at page F-1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filed as part of this Form 10-Q. See Index to Financial Information at page F-1 of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involved in litigation and regulatory proceedings arising in the ordinary course of business, such as defamation actions and governmental proceedings primarily relating to renewal of broadcast licenses, none of which is expected to result in material loss.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Risk Factors in our 2025 Annual Report on Form 10-K.</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sales of unregistered equity securities during the quarter ended June 30, 2026.</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defaults upon senior securities during the quarter ended June 30, 2026.</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modified or terminated a Rule 10b5-1 trading arrangement or a non-Rule 10b5-1 trading arrangement (as defined in Item 408(a) of Regulation S-K) during the quarter ended June 30, 2026.</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7"/>
        <w:gridCol w:w="340"/>
        <w:gridCol w:w="341"/>
        <w:gridCol w:w="109"/>
        <w:gridCol w:w="109"/>
        <w:gridCol w:w="109"/>
        <w:gridCol w:w="2632"/>
        <w:gridCol w:w="2549"/>
        <w:gridCol w:w="3629"/>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sp-ex31a20260630x10q.htm">
              <w:r>
                <w:rPr>
                  <w:rStyle w:val="InternetLink"/>
                  <w:rFonts w:ascii="Times New Roman;serif" w:hAnsi="Times New Roman;serif"/>
                  <w:b w:val="false"/>
                  <w:color w:val="0000FF"/>
                  <w:sz w:val="20"/>
                  <w:u w:val="single"/>
                </w:rPr>
                <w:t>Section 302 Certifications</w:t>
              </w:r>
            </w:hyperlink>
            <w:r>
              <w:rPr>
                <w:color w:val="000000"/>
              </w:rPr>
              <w:t xml:space="preserve"> </w:t>
            </w:r>
            <w:r>
              <w:rPr>
                <w:rFonts w:ascii="Times New Roman;serif" w:hAnsi="Times New Roman;serif"/>
                <w:b w:val="false"/>
                <w:color w:val="000000"/>
                <w:sz w:val="20"/>
              </w:rPr>
              <w:t>*</w:t>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sp-ex31b20260630x10q.htm">
              <w:r>
                <w:rPr>
                  <w:rStyle w:val="InternetLink"/>
                  <w:rFonts w:ascii="Times New Roman;serif" w:hAnsi="Times New Roman;serif"/>
                  <w:b w:val="false"/>
                  <w:color w:val="0000FF"/>
                  <w:sz w:val="20"/>
                  <w:u w:val="single"/>
                </w:rPr>
                <w:t>Section 302 Certifications</w:t>
              </w:r>
            </w:hyperlink>
            <w:r>
              <w:rPr>
                <w:color w:val="000000"/>
              </w:rPr>
              <w:t xml:space="preserve"> </w:t>
            </w:r>
            <w:r>
              <w:rPr>
                <w:rFonts w:ascii="Times New Roman;serif" w:hAnsi="Times New Roman;serif"/>
                <w:b w:val="false"/>
                <w:color w:val="000000"/>
                <w:sz w:val="20"/>
              </w:rPr>
              <w:t>*</w:t>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sp-ex32a20260630x10q.htm">
              <w:r>
                <w:rPr>
                  <w:rStyle w:val="InternetLink"/>
                  <w:rFonts w:ascii="Times New Roman;serif" w:hAnsi="Times New Roman;serif"/>
                  <w:b w:val="false"/>
                  <w:color w:val="0000FF"/>
                  <w:sz w:val="20"/>
                  <w:u w:val="single"/>
                </w:rPr>
                <w:t>Section 906 Certifications</w:t>
              </w:r>
            </w:hyperlink>
            <w:r>
              <w:rPr>
                <w:color w:val="000000"/>
              </w:rPr>
              <w:t xml:space="preserve"> </w:t>
            </w:r>
            <w:r>
              <w:rPr>
                <w:rFonts w:ascii="Times New Roman;serif" w:hAnsi="Times New Roman;serif"/>
                <w:b w:val="false"/>
                <w:color w:val="000000"/>
                <w:sz w:val="20"/>
              </w:rPr>
              <w:t>*</w:t>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sp-ex32b20260630x10q.htm">
              <w:r>
                <w:rPr>
                  <w:rStyle w:val="InternetLink"/>
                  <w:rFonts w:ascii="Times New Roman;serif" w:hAnsi="Times New Roman;serif"/>
                  <w:b w:val="false"/>
                  <w:color w:val="0000FF"/>
                  <w:sz w:val="20"/>
                  <w:u w:val="single"/>
                </w:rPr>
                <w:t>Section 906 Certifications</w:t>
              </w:r>
            </w:hyperlink>
            <w:r>
              <w:rPr>
                <w:color w:val="000000"/>
              </w:rPr>
              <w:t xml:space="preserve"> </w:t>
            </w:r>
            <w:r>
              <w:rPr>
                <w:rFonts w:ascii="Times New Roman;serif" w:hAnsi="Times New Roman;serif"/>
                <w:b w:val="false"/>
                <w:color w:val="000000"/>
                <w:sz w:val="20"/>
              </w:rPr>
              <w:t>*</w:t>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and related Notes for the three and six months ended June 30, 2026 from this Quarterly Report on Form 10-Q, formatted in iXBRL (Inline eXtensible Business Reporting Language). *</w:t>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ind w:left="0" w:right="0" w:firstLine="450"/>
        <w:jc w:val="left"/>
        <w:rPr/>
      </w:pPr>
      <w:r>
        <w:rPr/>
      </w:r>
    </w:p>
    <w:tbl>
      <w:tblPr>
        <w:tblW w:w="6055" w:type="dxa"/>
        <w:jc w:val="left"/>
        <w:tblInd w:w="0" w:type="dxa"/>
        <w:tblLayout w:type="fixed"/>
        <w:tblCellMar>
          <w:top w:w="28" w:type="dxa"/>
          <w:left w:w="28" w:type="dxa"/>
          <w:bottom w:w="28" w:type="dxa"/>
          <w:right w:w="28" w:type="dxa"/>
        </w:tblCellMar>
      </w:tblPr>
      <w:tblGrid>
        <w:gridCol w:w="705"/>
        <w:gridCol w:w="619"/>
        <w:gridCol w:w="625"/>
        <w:gridCol w:w="429"/>
        <w:gridCol w:w="429"/>
        <w:gridCol w:w="429"/>
        <w:gridCol w:w="823"/>
        <w:gridCol w:w="823"/>
        <w:gridCol w:w="117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E.W. SCRIPPS COMPANY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Daniel W. Perschke</w:t>
            </w:r>
            <w:r>
              <w:rPr>
                <w:color w:val="000000"/>
              </w:rPr>
              <w:t xml:space="preserve">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W. Perschke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Controller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Financial Information (Unaudited)</w:t>
      </w:r>
    </w:p>
    <w:p>
      <w:pPr>
        <w:pStyle w:val="TextBody"/>
        <w:bidi w:val="0"/>
        <w:spacing w:before="0" w:after="0"/>
        <w:jc w:val="left"/>
        <w:rPr/>
      </w:pPr>
      <w:r>
        <w:rPr/>
      </w:r>
    </w:p>
    <w:tbl>
      <w:tblPr>
        <w:tblW w:w="8278" w:type="dxa"/>
        <w:jc w:val="left"/>
        <w:tblInd w:w="0" w:type="dxa"/>
        <w:tblLayout w:type="fixed"/>
        <w:tblCellMar>
          <w:top w:w="28" w:type="dxa"/>
          <w:left w:w="28" w:type="dxa"/>
          <w:bottom w:w="28" w:type="dxa"/>
          <w:right w:w="28" w:type="dxa"/>
        </w:tblCellMar>
      </w:tblPr>
      <w:tblGrid>
        <w:gridCol w:w="2671"/>
        <w:gridCol w:w="2336"/>
        <w:gridCol w:w="2373"/>
        <w:gridCol w:w="109"/>
        <w:gridCol w:w="109"/>
        <w:gridCol w:w="109"/>
        <w:gridCol w:w="167"/>
        <w:gridCol w:w="167"/>
        <w:gridCol w:w="237"/>
      </w:tblGrid>
      <w:tr>
        <w:trPr/>
        <w:tc>
          <w:tcPr>
            <w:tcW w:w="2671"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28">
              <w:r>
                <w:rPr>
                  <w:rStyle w:val="InternetLink"/>
                  <w:rFonts w:ascii="Times New Roman;serif" w:hAnsi="Times New Roman;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28">
              <w:r>
                <w:rPr>
                  <w:rStyle w:val="InternetLink"/>
                  <w:rFonts w:ascii="Times New Roman;serif" w:hAnsi="Times New Roman;serif"/>
                  <w:b w:val="false"/>
                  <w:color w:val="000080"/>
                  <w:sz w:val="20"/>
                  <w:u w:val="single"/>
                </w:rPr>
                <w:t>2</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31">
              <w:r>
                <w:rPr>
                  <w:rStyle w:val="InternetLink"/>
                  <w:rFonts w:ascii="Times New Roman;serif" w:hAnsi="Times New Roman;serif"/>
                  <w:b w:val="false"/>
                  <w:color w:val="0000FF"/>
                  <w:sz w:val="20"/>
                  <w:u w:val="single"/>
                </w:rPr>
                <w:t>Condensed 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31">
              <w:r>
                <w:rPr>
                  <w:rStyle w:val="InternetLink"/>
                  <w:rFonts w:ascii="Times New Roman;serif" w:hAnsi="Times New Roman;serif"/>
                  <w:b w:val="false"/>
                  <w:color w:val="000080"/>
                  <w:sz w:val="20"/>
                  <w:u w:val="single"/>
                </w:rPr>
                <w:t>3</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34">
              <w:r>
                <w:rPr>
                  <w:rStyle w:val="InternetLink"/>
                  <w:rFonts w:ascii="Times New Roman;serif" w:hAnsi="Times New Roman;serif"/>
                  <w:b w:val="false"/>
                  <w:color w:val="0000FF"/>
                  <w:sz w:val="20"/>
                  <w:u w:val="single"/>
                </w:rPr>
                <w:t>Condensed 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34">
              <w:r>
                <w:rPr>
                  <w:rStyle w:val="InternetLink"/>
                  <w:rFonts w:ascii="Times New Roman;serif" w:hAnsi="Times New Roman;serif"/>
                  <w:b w:val="false"/>
                  <w:color w:val="000080"/>
                  <w:sz w:val="20"/>
                  <w:u w:val="single"/>
                </w:rPr>
                <w:t>4</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40">
              <w:r>
                <w:rPr>
                  <w:rStyle w:val="InternetLink"/>
                  <w:rFonts w:ascii="Times New Roman;serif" w:hAnsi="Times New Roman;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40">
              <w:r>
                <w:rPr>
                  <w:rStyle w:val="InternetLink"/>
                  <w:rFonts w:ascii="Times New Roman;serif" w:hAnsi="Times New Roman;serif"/>
                  <w:b w:val="false"/>
                  <w:color w:val="000080"/>
                  <w:sz w:val="20"/>
                  <w:u w:val="single"/>
                </w:rPr>
                <w:t>5</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43">
              <w:r>
                <w:rPr>
                  <w:rStyle w:val="InternetLink"/>
                  <w:rFonts w:ascii="Times New Roman;serif" w:hAnsi="Times New Roman;serif"/>
                  <w:b w:val="false"/>
                  <w:color w:val="0000FF"/>
                  <w:sz w:val="20"/>
                  <w:u w:val="single"/>
                </w:rPr>
                <w:t>Condensed 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43">
              <w:r>
                <w:rPr>
                  <w:rStyle w:val="InternetLink"/>
                  <w:rFonts w:ascii="Times New Roman;serif" w:hAnsi="Times New Roman;serif"/>
                  <w:b w:val="false"/>
                  <w:color w:val="000080"/>
                  <w:sz w:val="20"/>
                  <w:u w:val="single"/>
                </w:rPr>
                <w:t>6</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49">
              <w:r>
                <w:rPr>
                  <w:rStyle w:val="InternetLink"/>
                  <w:rFonts w:ascii="Times New Roman;serif" w:hAnsi="Times New Roman;serif"/>
                  <w:b w:val="false"/>
                  <w:color w:val="000080"/>
                  <w:sz w:val="20"/>
                  <w:u w:val="single"/>
                </w:rPr>
                <w:t>7</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109">
              <w:r>
                <w:rPr>
                  <w:rStyle w:val="InternetLink"/>
                  <w:rFonts w:ascii="Times New Roman;serif" w:hAnsi="Times New Roman;serif"/>
                  <w:b w:val="false"/>
                  <w:color w:val="000080"/>
                  <w:sz w:val="20"/>
                  <w:u w:val="single"/>
                </w:rPr>
                <w:t>26</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124">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124">
              <w:r>
                <w:rPr>
                  <w:rStyle w:val="InternetLink"/>
                  <w:rFonts w:ascii="Times New Roman;serif" w:hAnsi="Times New Roman;serif"/>
                  <w:b w:val="false"/>
                  <w:color w:val="000080"/>
                  <w:sz w:val="20"/>
                  <w:u w:val="single"/>
                </w:rPr>
                <w:t>36</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4b57aa32c0404d9c94b0e16a7eac6a_127">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f4b57aa32c0404d9c94b0e16a7eac6a_127">
              <w:r>
                <w:rPr>
                  <w:rStyle w:val="InternetLink"/>
                  <w:rFonts w:ascii="Times New Roman;serif" w:hAnsi="Times New Roman;serif"/>
                  <w:b w:val="false"/>
                  <w:color w:val="000080"/>
                  <w:sz w:val="20"/>
                  <w:u w:val="singl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629"/>
        <w:gridCol w:w="2134"/>
        <w:gridCol w:w="2149"/>
        <w:gridCol w:w="109"/>
        <w:gridCol w:w="109"/>
        <w:gridCol w:w="109"/>
        <w:gridCol w:w="211"/>
        <w:gridCol w:w="976"/>
        <w:gridCol w:w="109"/>
        <w:gridCol w:w="109"/>
        <w:gridCol w:w="109"/>
        <w:gridCol w:w="109"/>
        <w:gridCol w:w="211"/>
        <w:gridCol w:w="976"/>
        <w:gridCol w:w="156"/>
      </w:tblGrid>
      <w:tr>
        <w:trPr/>
        <w:tc>
          <w:tcPr>
            <w:tcW w:w="26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6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 $7,358 and $5,909)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2,585,534 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 authorized: 25,000,000 shares; none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Series A, $100,000 par; 6,000 shares issued and outstanding (redemption value of $782,333 at June 30, 2026 and $749,587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 authorized: 240,000,000 shares; issued and outstanding: 80,736,269 and 77,081,135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Voting — authorized: 60,000,000 shares; issued and outstanding: 11,932,722 and 11,932,722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and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(Unaudited) </w:t>
      </w:r>
    </w:p>
    <w:tbl>
      <w:tblPr>
        <w:tblW w:w="10205" w:type="dxa"/>
        <w:jc w:val="left"/>
        <w:tblInd w:w="0" w:type="dxa"/>
        <w:tblLayout w:type="fixed"/>
        <w:tblCellMar>
          <w:top w:w="28" w:type="dxa"/>
          <w:left w:w="28" w:type="dxa"/>
          <w:bottom w:w="28" w:type="dxa"/>
          <w:right w:w="28" w:type="dxa"/>
        </w:tblCellMar>
      </w:tblPr>
      <w:tblGrid>
        <w:gridCol w:w="1580"/>
        <w:gridCol w:w="1153"/>
        <w:gridCol w:w="1162"/>
        <w:gridCol w:w="109"/>
        <w:gridCol w:w="109"/>
        <w:gridCol w:w="109"/>
        <w:gridCol w:w="211"/>
        <w:gridCol w:w="1011"/>
        <w:gridCol w:w="109"/>
        <w:gridCol w:w="109"/>
        <w:gridCol w:w="109"/>
        <w:gridCol w:w="109"/>
        <w:gridCol w:w="211"/>
        <w:gridCol w:w="826"/>
        <w:gridCol w:w="109"/>
        <w:gridCol w:w="109"/>
        <w:gridCol w:w="109"/>
        <w:gridCol w:w="109"/>
        <w:gridCol w:w="211"/>
        <w:gridCol w:w="1011"/>
        <w:gridCol w:w="109"/>
        <w:gridCol w:w="109"/>
        <w:gridCol w:w="109"/>
        <w:gridCol w:w="109"/>
        <w:gridCol w:w="211"/>
        <w:gridCol w:w="826"/>
        <w:gridCol w:w="157"/>
      </w:tblGrid>
      <w:tr>
        <w:trPr/>
        <w:tc>
          <w:tcPr>
            <w:tcW w:w="158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shareholders of The E.W. Scripps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basic share of common stock attributable to the shareholders of The E.W. Scripps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diluted share of common stock attributable to the shareholders of The E.W. Scripps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(Loss) (Unaudited)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7"/>
        <w:gridCol w:w="1206"/>
        <w:gridCol w:w="1212"/>
        <w:gridCol w:w="109"/>
        <w:gridCol w:w="109"/>
        <w:gridCol w:w="109"/>
        <w:gridCol w:w="211"/>
        <w:gridCol w:w="1018"/>
        <w:gridCol w:w="109"/>
        <w:gridCol w:w="109"/>
        <w:gridCol w:w="109"/>
        <w:gridCol w:w="109"/>
        <w:gridCol w:w="211"/>
        <w:gridCol w:w="763"/>
        <w:gridCol w:w="109"/>
        <w:gridCol w:w="109"/>
        <w:gridCol w:w="109"/>
        <w:gridCol w:w="109"/>
        <w:gridCol w:w="211"/>
        <w:gridCol w:w="1018"/>
        <w:gridCol w:w="109"/>
        <w:gridCol w:w="109"/>
        <w:gridCol w:w="109"/>
        <w:gridCol w:w="109"/>
        <w:gridCol w:w="211"/>
        <w:gridCol w:w="763"/>
        <w:gridCol w:w="159"/>
      </w:tblGrid>
      <w:tr>
        <w:trPr/>
        <w:tc>
          <w:tcPr>
            <w:tcW w:w="158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defined benefit pension plans, net of tax of $72, $11, $145, and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preferred and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tbl>
      <w:tblPr>
        <w:tblW w:w="8509" w:type="dxa"/>
        <w:jc w:val="left"/>
        <w:tblInd w:w="0" w:type="dxa"/>
        <w:tblLayout w:type="fixed"/>
        <w:tblCellMar>
          <w:top w:w="28" w:type="dxa"/>
          <w:left w:w="28" w:type="dxa"/>
          <w:bottom w:w="28" w:type="dxa"/>
          <w:right w:w="28" w:type="dxa"/>
        </w:tblCellMar>
      </w:tblPr>
      <w:tblGrid>
        <w:gridCol w:w="1991"/>
        <w:gridCol w:w="1754"/>
        <w:gridCol w:w="1760"/>
        <w:gridCol w:w="109"/>
        <w:gridCol w:w="109"/>
        <w:gridCol w:w="109"/>
        <w:gridCol w:w="196"/>
        <w:gridCol w:w="946"/>
        <w:gridCol w:w="109"/>
        <w:gridCol w:w="109"/>
        <w:gridCol w:w="109"/>
        <w:gridCol w:w="109"/>
        <w:gridCol w:w="202"/>
        <w:gridCol w:w="743"/>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w:t>
              <w:br/>
              <w:t>June 30,</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net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(gains) on sale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and deferred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contributions, net of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in certain working capital accounts,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received from accounts receivable 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accounts receivable securitization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extinguishment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related to shares withheld for vested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paid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(refunded)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Equity (Unaudited)</w:t>
      </w:r>
    </w:p>
    <w:p>
      <w:pPr>
        <w:pStyle w:val="TextBody"/>
        <w:bidi w:val="0"/>
        <w:spacing w:before="0" w:after="0"/>
        <w:jc w:val="left"/>
        <w:rPr/>
      </w:pPr>
      <w:r>
        <w:rPr/>
      </w:r>
    </w:p>
    <w:tbl>
      <w:tblPr>
        <w:tblW w:w="10672" w:type="dxa"/>
        <w:jc w:val="left"/>
        <w:tblInd w:w="0" w:type="dxa"/>
        <w:tblLayout w:type="fixed"/>
        <w:tblCellMar>
          <w:top w:w="28" w:type="dxa"/>
          <w:left w:w="28" w:type="dxa"/>
          <w:bottom w:w="28" w:type="dxa"/>
          <w:right w:w="28" w:type="dxa"/>
        </w:tblCellMar>
      </w:tblPr>
      <w:tblGrid>
        <w:gridCol w:w="821"/>
        <w:gridCol w:w="287"/>
        <w:gridCol w:w="288"/>
        <w:gridCol w:w="109"/>
        <w:gridCol w:w="109"/>
        <w:gridCol w:w="109"/>
        <w:gridCol w:w="211"/>
        <w:gridCol w:w="826"/>
        <w:gridCol w:w="109"/>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109"/>
        <w:gridCol w:w="109"/>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Three Months Ended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30, 2026 and 2025</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Other</w:t>
              <w:br/>
              <w:t>Comprehensive</w:t>
              <w:br/>
              <w:t>Income (Loss) ("AOCI")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Equity</w:t>
            </w:r>
          </w:p>
        </w:tc>
      </w:tr>
      <w:tr>
        <w:trPr/>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plans: 1,128,167 net shares issued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 Net of tax payments related to shares withheld for vested RSUs of $67 for the three months ended June 30, 2026</w:t>
      </w:r>
      <w:r>
        <w:rPr>
          <w:rFonts w:ascii="Times New Roman;serif" w:hAnsi="Times New Roman;serif"/>
          <w:b w:val="false"/>
          <w:color w:val="000000"/>
          <w:sz w:val="20"/>
        </w:rPr>
        <w:t>.</w:t>
      </w:r>
    </w:p>
    <w:p>
      <w:pPr>
        <w:pStyle w:val="TextBody"/>
        <w:bidi w:val="0"/>
        <w:spacing w:before="0" w:after="0"/>
        <w:jc w:val="left"/>
        <w:rPr/>
      </w:pPr>
      <w:r>
        <w:rPr/>
      </w:r>
    </w:p>
    <w:tbl>
      <w:tblPr>
        <w:tblW w:w="10362" w:type="dxa"/>
        <w:jc w:val="left"/>
        <w:tblInd w:w="0" w:type="dxa"/>
        <w:tblLayout w:type="fixed"/>
        <w:tblCellMar>
          <w:top w:w="28" w:type="dxa"/>
          <w:left w:w="28" w:type="dxa"/>
          <w:bottom w:w="28" w:type="dxa"/>
          <w:right w:w="28" w:type="dxa"/>
        </w:tblCellMar>
      </w:tblPr>
      <w:tblGrid>
        <w:gridCol w:w="679"/>
        <w:gridCol w:w="510"/>
        <w:gridCol w:w="207"/>
        <w:gridCol w:w="109"/>
        <w:gridCol w:w="109"/>
        <w:gridCol w:w="109"/>
        <w:gridCol w:w="211"/>
        <w:gridCol w:w="826"/>
        <w:gridCol w:w="109"/>
        <w:gridCol w:w="109"/>
        <w:gridCol w:w="109"/>
        <w:gridCol w:w="109"/>
        <w:gridCol w:w="211"/>
        <w:gridCol w:w="466"/>
        <w:gridCol w:w="109"/>
        <w:gridCol w:w="109"/>
        <w:gridCol w:w="109"/>
        <w:gridCol w:w="109"/>
        <w:gridCol w:w="211"/>
        <w:gridCol w:w="976"/>
        <w:gridCol w:w="109"/>
        <w:gridCol w:w="109"/>
        <w:gridCol w:w="109"/>
        <w:gridCol w:w="109"/>
        <w:gridCol w:w="211"/>
        <w:gridCol w:w="841"/>
        <w:gridCol w:w="109"/>
        <w:gridCol w:w="109"/>
        <w:gridCol w:w="109"/>
        <w:gridCol w:w="109"/>
        <w:gridCol w:w="211"/>
        <w:gridCol w:w="736"/>
        <w:gridCol w:w="109"/>
        <w:gridCol w:w="109"/>
        <w:gridCol w:w="109"/>
        <w:gridCol w:w="109"/>
        <w:gridCol w:w="109"/>
        <w:gridCol w:w="109"/>
        <w:gridCol w:w="211"/>
        <w:gridCol w:w="97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dividends, $577 of issuance costs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plans: 622,654 net shares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Net of tax payments related to shares withheld for vested RSUs of $64 for the three months ended June 30, 2025.</w:t>
      </w:r>
    </w:p>
    <w:p>
      <w:pPr>
        <w:pStyle w:val="TextBody"/>
        <w:bidi w:val="0"/>
        <w:spacing w:before="0" w:after="0"/>
        <w:jc w:val="left"/>
        <w:rPr/>
      </w:pPr>
      <w:r>
        <w:rPr/>
      </w:r>
    </w:p>
    <w:tbl>
      <w:tblPr>
        <w:tblW w:w="10672" w:type="dxa"/>
        <w:jc w:val="left"/>
        <w:tblInd w:w="0" w:type="dxa"/>
        <w:tblLayout w:type="fixed"/>
        <w:tblCellMar>
          <w:top w:w="28" w:type="dxa"/>
          <w:left w:w="28" w:type="dxa"/>
          <w:bottom w:w="28" w:type="dxa"/>
          <w:right w:w="28" w:type="dxa"/>
        </w:tblCellMar>
      </w:tblPr>
      <w:tblGrid>
        <w:gridCol w:w="821"/>
        <w:gridCol w:w="287"/>
        <w:gridCol w:w="288"/>
        <w:gridCol w:w="109"/>
        <w:gridCol w:w="109"/>
        <w:gridCol w:w="109"/>
        <w:gridCol w:w="211"/>
        <w:gridCol w:w="826"/>
        <w:gridCol w:w="109"/>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242"/>
        <w:gridCol w:w="847"/>
        <w:gridCol w:w="127"/>
        <w:gridCol w:w="109"/>
        <w:gridCol w:w="109"/>
        <w:gridCol w:w="109"/>
        <w:gridCol w:w="109"/>
        <w:gridCol w:w="109"/>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30, 2026 and 2025</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Preferred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Other</w:t>
              <w:br/>
              <w:t>Comprehensive</w:t>
              <w:br/>
              <w:t>Income (Loss)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br/>
              <w:t>Equity</w:t>
            </w:r>
          </w:p>
        </w:tc>
      </w:tr>
      <w:tr>
        <w:trPr/>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plans: 3,655,134 net shares issued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 Net of tax payments related to shares withheld for vested RSUs of $5,918 for the six months ended June 30, 2026. </w:t>
      </w:r>
    </w:p>
    <w:p>
      <w:pPr>
        <w:pStyle w:val="TextBody"/>
        <w:bidi w:val="0"/>
        <w:spacing w:before="0" w:after="0"/>
        <w:jc w:val="left"/>
        <w:rPr/>
      </w:pPr>
      <w:r>
        <w:rPr/>
      </w:r>
    </w:p>
    <w:tbl>
      <w:tblPr>
        <w:tblW w:w="10362" w:type="dxa"/>
        <w:jc w:val="center"/>
        <w:tblInd w:w="0" w:type="dxa"/>
        <w:tblLayout w:type="fixed"/>
        <w:tblCellMar>
          <w:top w:w="28" w:type="dxa"/>
          <w:left w:w="28" w:type="dxa"/>
          <w:bottom w:w="28" w:type="dxa"/>
          <w:right w:w="28" w:type="dxa"/>
        </w:tblCellMar>
      </w:tblPr>
      <w:tblGrid>
        <w:gridCol w:w="782"/>
        <w:gridCol w:w="316"/>
        <w:gridCol w:w="298"/>
        <w:gridCol w:w="109"/>
        <w:gridCol w:w="109"/>
        <w:gridCol w:w="109"/>
        <w:gridCol w:w="211"/>
        <w:gridCol w:w="826"/>
        <w:gridCol w:w="109"/>
        <w:gridCol w:w="109"/>
        <w:gridCol w:w="109"/>
        <w:gridCol w:w="109"/>
        <w:gridCol w:w="211"/>
        <w:gridCol w:w="466"/>
        <w:gridCol w:w="109"/>
        <w:gridCol w:w="109"/>
        <w:gridCol w:w="109"/>
        <w:gridCol w:w="109"/>
        <w:gridCol w:w="211"/>
        <w:gridCol w:w="976"/>
        <w:gridCol w:w="109"/>
        <w:gridCol w:w="109"/>
        <w:gridCol w:w="109"/>
        <w:gridCol w:w="109"/>
        <w:gridCol w:w="211"/>
        <w:gridCol w:w="841"/>
        <w:gridCol w:w="109"/>
        <w:gridCol w:w="109"/>
        <w:gridCol w:w="109"/>
        <w:gridCol w:w="109"/>
        <w:gridCol w:w="211"/>
        <w:gridCol w:w="736"/>
        <w:gridCol w:w="109"/>
        <w:gridCol w:w="109"/>
        <w:gridCol w:w="109"/>
        <w:gridCol w:w="109"/>
        <w:gridCol w:w="109"/>
        <w:gridCol w:w="109"/>
        <w:gridCol w:w="211"/>
        <w:gridCol w:w="97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dividends, $1,153 of issuance costs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plans: 1,705,869 net shares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 Net of tax payments related to shares withheld for vested RSUs of $874 for the six months ended June 30,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E.W. Scripps Company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Summary of Significant Accounting Policies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used in the Notes to Condensed Consolidated Financial Statements, the terms “Scripps,” “Company,” “we,” “our,” or “us” may, depending on the context, refer to The E.W. Scripps Company, to one or more of its consolidated subsidiary companies, or to all of them taken as a whole.</w:t>
      </w:r>
    </w:p>
    <w:p>
      <w:pPr>
        <w:pStyle w:val="TextBody"/>
        <w:bidi w:val="0"/>
        <w:spacing w:lineRule="auto" w:line="288" w:before="200" w:after="283"/>
        <w:jc w:val="left"/>
        <w:rPr/>
      </w:pPr>
      <w:r>
        <w:rPr>
          <w:rFonts w:ascii="Times New Roman;serif" w:hAnsi="Times New Roman;serif"/>
          <w:b/>
          <w:color w:val="000000"/>
          <w:sz w:val="20"/>
        </w:rPr>
        <w:t>Basis of Presentation —</w:t>
      </w:r>
      <w:r>
        <w:rPr>
          <w:color w:val="000000"/>
        </w:rPr>
        <w:t xml:space="preserve"> </w:t>
      </w:r>
      <w:r>
        <w:rPr>
          <w:rFonts w:ascii="Times New Roman;serif" w:hAnsi="Times New Roman;serif"/>
          <w:b w:val="false"/>
          <w:color w:val="000000"/>
          <w:sz w:val="20"/>
        </w:rPr>
        <w:t xml:space="preserve">The condensed consolidated financial statements have been prepared in accordance with accounting principles generally accepted in the United States of America for interim financial information and with the instructions to Form 10-Q and Rule 10-01 of Regulation S-X. The interim financial statements should be read in conjunction with the audited consolidated financial statements, including the notes thereto included in our 2025 Annual Report on Form 10-K. In management's opinion, all adjustments (consisting of normal recurring accruals) necessary for a fair presentation of the interim periods have been made.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operations are not necessarily indicative of the results that may be expected for future interim periods or for the full year. </w:t>
      </w:r>
    </w:p>
    <w:p>
      <w:pPr>
        <w:pStyle w:val="TextBody"/>
        <w:bidi w:val="0"/>
        <w:spacing w:lineRule="auto" w:line="288" w:before="200" w:after="283"/>
        <w:jc w:val="left"/>
        <w:rPr/>
      </w:pPr>
      <w:r>
        <w:rPr>
          <w:rFonts w:ascii="Times New Roman;serif" w:hAnsi="Times New Roman;serif"/>
          <w:b/>
          <w:color w:val="000000"/>
          <w:sz w:val="20"/>
        </w:rPr>
        <w:t>Principles of Consolidation —</w:t>
      </w:r>
      <w:r>
        <w:rPr>
          <w:color w:val="000000"/>
        </w:rPr>
        <w:t xml:space="preserve"> </w:t>
      </w:r>
      <w:r>
        <w:rPr>
          <w:rFonts w:ascii="Times New Roman;serif" w:hAnsi="Times New Roman;serif"/>
          <w:b w:val="false"/>
          <w:color w:val="000000"/>
          <w:sz w:val="20"/>
        </w:rPr>
        <w:t>The consolidated financial statements include our accounts and those of our wholly-owned and majority-owned subsidiaries and variable interest entities ("VIEs") for which we are the primary beneficiary. We are the primary beneficiary of a VIE when we have the power to direct the activities of the VIE that most significantly impact the economic performance of the VIE and have the obligation to absorb losses or the right to receive returns that would be significant to the VIE. All intercompany transactions and account balances have been eliminated in consolidation.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entities over which we have significant influence but not control are accounted for using the equity method of accounting. Income from equity method investments represents our proportionate share of net income generated by equity method investees.</w:t>
      </w:r>
    </w:p>
    <w:p>
      <w:pPr>
        <w:pStyle w:val="TextBody"/>
        <w:bidi w:val="0"/>
        <w:spacing w:lineRule="auto" w:line="288" w:before="200" w:after="283"/>
        <w:jc w:val="left"/>
        <w:rPr/>
      </w:pPr>
      <w:r>
        <w:rPr>
          <w:rFonts w:ascii="Times New Roman;serif" w:hAnsi="Times New Roman;serif"/>
          <w:b/>
          <w:color w:val="000000"/>
          <w:sz w:val="20"/>
        </w:rPr>
        <w:t>Nature of Operations —</w:t>
      </w:r>
      <w:r>
        <w:rPr>
          <w:color w:val="000000"/>
        </w:rPr>
        <w:t xml:space="preserve"> </w:t>
      </w:r>
      <w:r>
        <w:rPr>
          <w:rFonts w:ascii="Times New Roman;serif" w:hAnsi="Times New Roman;serif"/>
          <w:b w:val="false"/>
          <w:color w:val="000000"/>
          <w:sz w:val="20"/>
        </w:rPr>
        <w:t>We are a diverse media enterprise, serving audiences and businesses through a portfolio of local television stations and national news and entertainment networks. All of our businesses also have digital presences across online, mobile, connected television and social platforms, reaching consumers on all devices and platforms they use to consume content. Our media businesses are organized into the following reportable segments: Local Media, Scripps Networks and Other. Additional information for our segments is presented in Note 13. Segment Information.</w:t>
      </w:r>
    </w:p>
    <w:p>
      <w:pPr>
        <w:pStyle w:val="TextBody"/>
        <w:bidi w:val="0"/>
        <w:spacing w:before="0" w:after="0"/>
        <w:ind w:left="0" w:right="0" w:firstLine="450"/>
        <w:jc w:val="left"/>
        <w:rPr/>
      </w:pPr>
      <w:r>
        <w:rPr/>
      </w:r>
    </w:p>
    <w:p>
      <w:pPr>
        <w:pStyle w:val="TextBody"/>
        <w:bidi w:val="0"/>
        <w:spacing w:lineRule="auto" w:line="288" w:before="0" w:after="0"/>
        <w:jc w:val="left"/>
        <w:rPr/>
      </w:pPr>
      <w:r>
        <w:rPr>
          <w:rFonts w:ascii="Times New Roman;serif" w:hAnsi="Times New Roman;serif"/>
          <w:b/>
          <w:color w:val="000000"/>
          <w:sz w:val="20"/>
        </w:rPr>
        <w:t>Use of Estimates —</w:t>
      </w:r>
      <w:r>
        <w:rPr>
          <w:color w:val="000000"/>
        </w:rPr>
        <w:t xml:space="preserve"> </w:t>
      </w:r>
      <w:r>
        <w:rPr>
          <w:rFonts w:ascii="Times New Roman;serif" w:hAnsi="Times New Roman;serif"/>
          <w:b w:val="false"/>
          <w:color w:val="000000"/>
          <w:sz w:val="20"/>
        </w:rPr>
        <w:t>Preparing financial statements in accordance with accounting principles generally accepted in the United States of America requires us to make a variety of decisions that affect the reported amounts and the related disclosures. Such decisions include the selection of accounting principles that reflect the economic substance of the underlying transactions and the assumptions on which to base accounting estimates. In reaching such decisions, we apply judgment based on our understanding and analysis of the relevant circumstances, including our historical experience, actuarial studies and other assumptions.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financial statements include estimates and assumptions used in accounting for our defined benefit pension plan; the periods over which long-lived assets are depreciated or amortized; the fair value of long-lived assets, goodwill and indefinite lived assets; the liability for uncertain tax positions and valuation allowances against deferred income tax assets; the fair value of assets acquired and liabilities assumed in business combinations; and self-insured risks.</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we re-evaluate our estimates and assumptions on an ongoing basis, actual results could differ from those estimated at the time of preparation of the financial statements.</w:t>
      </w:r>
    </w:p>
    <w:p>
      <w:pPr>
        <w:pStyle w:val="TextBody"/>
        <w:bidi w:val="0"/>
        <w:spacing w:lineRule="auto" w:line="288" w:before="180" w:after="283"/>
        <w:jc w:val="left"/>
        <w:rPr/>
      </w:pPr>
      <w:r>
        <w:rPr>
          <w:rFonts w:ascii="Times New Roman;serif" w:hAnsi="Times New Roman;serif"/>
          <w:b/>
          <w:color w:val="000000"/>
          <w:sz w:val="20"/>
        </w:rPr>
        <w:t xml:space="preserve">Nature of Products and Services — </w:t>
      </w:r>
      <w:r>
        <w:rPr>
          <w:rFonts w:ascii="Times New Roman;serif" w:hAnsi="Times New Roman;serif"/>
          <w:b w:val="false"/>
          <w:color w:val="000000"/>
          <w:sz w:val="20"/>
        </w:rPr>
        <w:t>The following is a description of principal activities from which we generate revenue.</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Core Advertising</w:t>
      </w:r>
      <w:r>
        <w:rPr>
          <w:color w:val="000000"/>
        </w:rPr>
        <w:t xml:space="preserve"> — </w:t>
      </w:r>
      <w:r>
        <w:rPr>
          <w:rFonts w:ascii="Times New Roman;serif" w:hAnsi="Times New Roman;serif"/>
          <w:b w:val="false"/>
          <w:color w:val="000000"/>
          <w:sz w:val="20"/>
        </w:rPr>
        <w:t xml:space="preserve">Core advertising is comprised of sales to local and national businesses. The advertising includes a combination of broadcast spots as well as digital and connected TV advertising. Pricing of advertising time is based on audience size and share, the demographic of our audiences and the demand for our limited inventory of commercial time. Local advertising time is sold by each station's local sales staff who call upon advertising agencies and local businesses. National advertising time is generally sold by calling upon advertising agencies. Digital revenues are primarily generated from the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advertising to local and national customers on our business websites, tablet and mobile products, over-the-top apps and other platforms.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Political Advertising</w:t>
      </w:r>
      <w:r>
        <w:rPr>
          <w:color w:val="000000"/>
        </w:rPr>
        <w:t xml:space="preserve"> — </w:t>
      </w:r>
      <w:r>
        <w:rPr>
          <w:rFonts w:ascii="Times New Roman;serif" w:hAnsi="Times New Roman;serif"/>
          <w:b w:val="false"/>
          <w:color w:val="000000"/>
          <w:sz w:val="20"/>
        </w:rPr>
        <w:t>Political advertising is generally sold through our Washington, D.C. sales office. Advertising is sold to presidential, gubernatorial, U.S. Senate and House of Representative candidates, as well as for state and local issues. It is also sold to political action groups (PACs) and other advocacy groups.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Distribution Revenues</w:t>
      </w:r>
      <w:r>
        <w:rPr>
          <w:color w:val="000000"/>
        </w:rPr>
        <w:t xml:space="preserve"> — </w:t>
      </w:r>
      <w:r>
        <w:rPr>
          <w:rFonts w:ascii="Times New Roman;serif" w:hAnsi="Times New Roman;serif"/>
          <w:b w:val="false"/>
          <w:color w:val="000000"/>
          <w:sz w:val="20"/>
        </w:rPr>
        <w:t>We earn revenues from cable operators, satellite carriers, other multi-channel video programming distributors (collectively "MVPDs"), other online video distributors and subscribers for access rights to our local broadcast signals. These arrangements are generally governed by multi-year contracts and the fees we receive are typically based on the number of subscribers the respective distributor has in our markets and the contracted rate per subscriber.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Refer to Note 13. Segment Information for further information, including revenue by significant product and service offering.</w:t>
      </w:r>
    </w:p>
    <w:p>
      <w:pPr>
        <w:pStyle w:val="TextBody"/>
        <w:bidi w:val="0"/>
        <w:spacing w:lineRule="auto" w:line="288" w:before="200" w:after="283"/>
        <w:jc w:val="left"/>
        <w:rPr/>
      </w:pPr>
      <w:r>
        <w:rPr>
          <w:rFonts w:ascii="Times New Roman;serif" w:hAnsi="Times New Roman;serif"/>
          <w:b/>
          <w:color w:val="000000"/>
          <w:sz w:val="20"/>
        </w:rPr>
        <w:t>Revenue Recognition —</w:t>
      </w:r>
      <w:r>
        <w:rPr>
          <w:color w:val="000000"/>
        </w:rPr>
        <w:t xml:space="preserve"> </w:t>
      </w:r>
      <w:r>
        <w:rPr>
          <w:rFonts w:ascii="Times New Roman;serif" w:hAnsi="Times New Roman;serif"/>
          <w:b w:val="false"/>
          <w:color w:val="000000"/>
          <w:sz w:val="20"/>
        </w:rPr>
        <w:t xml:space="preserve">Revenue is measured based on the consideration we expect to be entitled to in exchange for promised goods or services provided to customers, and excludes any amounts collected on behalf of third parties. Revenue is recognized upon transfer of control of promised products or services to customers. </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Advertising </w:t>
      </w:r>
      <w:r>
        <w:rPr>
          <w:color w:val="000000"/>
        </w:rPr>
        <w:t xml:space="preserve">— </w:t>
      </w:r>
      <w:r>
        <w:rPr>
          <w:rFonts w:ascii="Times New Roman;serif" w:hAnsi="Times New Roman;serif"/>
          <w:b w:val="false"/>
          <w:color w:val="000000"/>
          <w:sz w:val="20"/>
        </w:rPr>
        <w:t>Advertising revenue is recognized, net of agency commissions, over time primarily as ads are aired or impressions are delivered and any contracted audience guarantees are met. We apply the practical expedient to recognize revenue at the amount we have the right to invoice, which corresponds directly to the value a customer has received relative to our performance. For advertising sold based on audience guarantees, audience deficiency may result in an obligation to deliver additional advertisements to the customer. To the extent that we do not satisfy contracted audience ratings, we record deferred revenue until such time that the audience guarantee has been satisfied.</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Distribution </w:t>
      </w:r>
      <w:r>
        <w:rPr>
          <w:color w:val="000000"/>
        </w:rPr>
        <w:t xml:space="preserve">— </w:t>
      </w:r>
      <w:r>
        <w:rPr>
          <w:rFonts w:ascii="Times New Roman;serif" w:hAnsi="Times New Roman;serif"/>
          <w:b w:val="false"/>
          <w:color w:val="000000"/>
          <w:sz w:val="20"/>
        </w:rPr>
        <w:t>Our primary source of distribution revenue is from retransmission consent contracts with MVPDs. Retransmission revenues are considered licenses of functional intellectual property and are recognized at the point in time the content is transferred to the customer. MVPDs report their subscriber numbers to us generally on a 30- to 90-day lag. Prior to receiving the MVPD reporting, we record revenue based on estimates of the number of subscribers, utilizing historical levels and trends of subscribers for each MVPD.</w:t>
      </w:r>
    </w:p>
    <w:p>
      <w:pPr>
        <w:pStyle w:val="TextBody"/>
        <w:bidi w:val="0"/>
        <w:spacing w:lineRule="auto" w:line="288" w:before="200" w:after="283"/>
        <w:jc w:val="left"/>
        <w:rPr/>
      </w:pPr>
      <w:r>
        <w:rPr>
          <w:rFonts w:ascii="Times New Roman;serif" w:hAnsi="Times New Roman;serif"/>
          <w:b/>
          <w:color w:val="000000"/>
          <w:sz w:val="20"/>
        </w:rPr>
        <w:t>Cost of Revenues —</w:t>
      </w:r>
      <w:r>
        <w:rPr>
          <w:color w:val="000000"/>
        </w:rPr>
        <w:t xml:space="preserve"> </w:t>
      </w:r>
      <w:r>
        <w:rPr>
          <w:rFonts w:ascii="Times New Roman;serif" w:hAnsi="Times New Roman;serif"/>
          <w:b w:val="false"/>
          <w:color w:val="000000"/>
          <w:sz w:val="20"/>
        </w:rPr>
        <w:t>Cost of revenues reflects the cost of providing our broadcast signals, programming and other content to respective distribution platforms. The costs captured within the cost of revenues caption include programming, content distribution, satellite transmission fees, production and operations and other direct costs.</w:t>
      </w:r>
    </w:p>
    <w:p>
      <w:pPr>
        <w:pStyle w:val="TextBody"/>
        <w:bidi w:val="0"/>
        <w:spacing w:lineRule="auto" w:line="288" w:before="200" w:after="283"/>
        <w:jc w:val="left"/>
        <w:rPr/>
      </w:pPr>
      <w:r>
        <w:rPr>
          <w:rFonts w:ascii="Times New Roman;serif" w:hAnsi="Times New Roman;serif"/>
          <w:b/>
          <w:color w:val="000000"/>
          <w:sz w:val="20"/>
        </w:rPr>
        <w:t xml:space="preserve">Contract Balances — </w:t>
      </w:r>
      <w:r>
        <w:rPr>
          <w:rFonts w:ascii="Times New Roman;serif" w:hAnsi="Times New Roman;serif"/>
          <w:b w:val="false"/>
          <w:color w:val="000000"/>
          <w:sz w:val="20"/>
        </w:rPr>
        <w:t>Timing of revenue recognition may differ from the timing of cash collection from customers. We record a receivable when revenue is recognized prior to cash receipt, or unearned revenue when cash is collected in advance of revenue being recognized.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Payment terms may vary by contract type, although our terms generally include a requirement of payment within 30 to 90 days. In instances where the timing of revenue recognition differs from the timing of invoicing, we have determined our contracts do not include a significant financing component. The primary purpose of our invoicing terms is to provide customers with simplified and predictable ways of purchasing our products and services.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allowance for doubtful accounts reflects our best estimate of probable losses inherent in the accounts receivable balance. We estimate the allowance based on expected credit losses, including our historical experience of actual losses and known troubled accounts. The allowance for doubtful accounts totaled $7.4 million at June 30, 2026 and $5.9 million at December 31,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unearned revenue when cash payments are received in advance of our performance, including amounts which are refundable. We generally require amounts payable under advertising contracts with political advertising customers to be paid in advance. Unearned revenue totaled $27.6 million at June 30, 2026 and most is expected to be recognized within revenue or refunded over the next 12 months. Unearned revenue totaled $22.2 million at December 31, 2025. We recorded $11.2 million of revenue in the six months ended June 30, 2026 that was included in unearned revenue at December 31,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Leases — </w:t>
      </w:r>
      <w:r>
        <w:rPr>
          <w:rFonts w:ascii="Times New Roman;serif" w:hAnsi="Times New Roman;serif"/>
          <w:b w:val="false"/>
          <w:color w:val="000000"/>
          <w:sz w:val="20"/>
        </w:rPr>
        <w:t>We determine if an arrangement is a lease at inception. Operating leases are included in operating lease right-of-use (“ROU”) assets, other current liabilities and operating lease liabilities in our Condensed Consolidated Balance Sheets. Finance leases are included in property and equipment and other long-term liabilities in our Condensed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Lease assets represent our right to use an underlying asset for the lease term and lease liabilities represent our obligation to make lease payments arising from the lease. Lease assets and liabilities are recognized at the commencement date based on the present value of lease payments over the lease term. As the implicit rate is not readily determinable for most of our leases, we use our incremental borrowing rate when determining the present value of lease payments. The incremental borrowing rate represents an estimate of the interest rate we would incur at lease commencement to borrow an amount equal to the lease payments on a collateralized basis over the term of the lease. Our lease assets also include any payments made at or before commencement and are reduced by any lease incentives. Our lease terms may include options to extend or terminate the lease when it is reasonably certain that we will exercise that option. Operating lease expense is recognized on a straight-line basis over the lease term.</w:t>
      </w:r>
    </w:p>
    <w:p>
      <w:pPr>
        <w:pStyle w:val="TextBody"/>
        <w:bidi w:val="0"/>
        <w:spacing w:lineRule="auto" w:line="288" w:before="180" w:after="283"/>
        <w:jc w:val="left"/>
        <w:rPr/>
      </w:pPr>
      <w:r>
        <w:rPr>
          <w:rFonts w:ascii="Times New Roman;serif" w:hAnsi="Times New Roman;serif"/>
          <w:b/>
          <w:color w:val="000000"/>
          <w:sz w:val="20"/>
        </w:rPr>
        <w:t>Share-Based Compensation —</w:t>
      </w:r>
      <w:r>
        <w:rPr>
          <w:color w:val="000000"/>
        </w:rPr>
        <w:t xml:space="preserve"> </w:t>
      </w:r>
      <w:r>
        <w:rPr>
          <w:rFonts w:ascii="Times New Roman;serif" w:hAnsi="Times New Roman;serif"/>
          <w:b w:val="false"/>
          <w:color w:val="000000"/>
          <w:sz w:val="20"/>
        </w:rPr>
        <w:t>We have a Long-Term Incentive Plan (the “Plan”) which is described more fully in our 2025 Annual Report on Form 10-K. The Plan provides for the award of incentive and nonqualified stock options, stock appreciation rights, restricted stock units ("RSUs") and unrestricted Class A Common shares and performance units to key employees and non-employee directors.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 totaled $6.0 million and $5.9 million for the second quarter of 2026 and 2025, respectively. Year-to-date share-based compensation costs totaled $12.5 million and $11.5 million in 2026 and 2025, respectively.</w:t>
      </w:r>
    </w:p>
    <w:p>
      <w:pPr>
        <w:pStyle w:val="TextBody"/>
        <w:bidi w:val="0"/>
        <w:spacing w:lineRule="auto" w:line="288" w:before="200" w:after="283"/>
        <w:jc w:val="left"/>
        <w:rPr/>
      </w:pPr>
      <w:r>
        <w:rPr>
          <w:rFonts w:ascii="Times New Roman;serif" w:hAnsi="Times New Roman;serif"/>
          <w:b/>
          <w:color w:val="000000"/>
          <w:sz w:val="20"/>
        </w:rPr>
        <w:t>Earnings Per Share (“EPS”) —</w:t>
      </w:r>
      <w:r>
        <w:rPr>
          <w:color w:val="000000"/>
        </w:rPr>
        <w:t xml:space="preserve"> </w:t>
      </w:r>
      <w:r>
        <w:rPr>
          <w:rFonts w:ascii="Times New Roman;serif" w:hAnsi="Times New Roman;serif"/>
          <w:b w:val="false"/>
          <w:color w:val="000000"/>
          <w:sz w:val="20"/>
        </w:rPr>
        <w:t xml:space="preserve">Unvested awards of share-based payments with non-forfeitable rights to receive dividends or dividend equivalents, such as certain of our RSUs, are considered participating securities for purposes of calculating EPS. Under the two-class method, we allocate a portion of net income to these participating securities and, therefore, exclude that income from the calculation of EPS for common stock. We do not allocate losses to the participating securities.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basic and diluted weighted-average shares outstanding: </w:t>
      </w:r>
    </w:p>
    <w:tbl>
      <w:tblPr>
        <w:tblW w:w="10205" w:type="dxa"/>
        <w:jc w:val="left"/>
        <w:tblInd w:w="0" w:type="dxa"/>
        <w:tblLayout w:type="fixed"/>
        <w:tblCellMar>
          <w:top w:w="28" w:type="dxa"/>
          <w:left w:w="28" w:type="dxa"/>
          <w:bottom w:w="28" w:type="dxa"/>
          <w:right w:w="28" w:type="dxa"/>
        </w:tblCellMar>
      </w:tblPr>
      <w:tblGrid>
        <w:gridCol w:w="1484"/>
        <w:gridCol w:w="1214"/>
        <w:gridCol w:w="1220"/>
        <w:gridCol w:w="109"/>
        <w:gridCol w:w="109"/>
        <w:gridCol w:w="109"/>
        <w:gridCol w:w="211"/>
        <w:gridCol w:w="1040"/>
        <w:gridCol w:w="109"/>
        <w:gridCol w:w="109"/>
        <w:gridCol w:w="109"/>
        <w:gridCol w:w="109"/>
        <w:gridCol w:w="211"/>
        <w:gridCol w:w="785"/>
        <w:gridCol w:w="109"/>
        <w:gridCol w:w="109"/>
        <w:gridCol w:w="109"/>
        <w:gridCol w:w="109"/>
        <w:gridCol w:w="211"/>
        <w:gridCol w:w="1040"/>
        <w:gridCol w:w="109"/>
        <w:gridCol w:w="109"/>
        <w:gridCol w:w="109"/>
        <w:gridCol w:w="109"/>
        <w:gridCol w:w="211"/>
        <w:gridCol w:w="785"/>
        <w:gridCol w:w="158"/>
      </w:tblGrid>
      <w:tr>
        <w:trPr/>
        <w:tc>
          <w:tcPr>
            <w:tcW w:w="148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Numerator</w:t>
            </w:r>
            <w:r>
              <w:rPr>
                <w:color w:val="000000"/>
              </w:rPr>
              <w:t xml:space="preserve"> </w:t>
            </w:r>
            <w:r>
              <w:rPr>
                <w:rFonts w:ascii="Times New Roman;serif" w:hAnsi="Times New Roman;serif"/>
                <w:b w:val="false"/>
                <w:color w:val="000000"/>
                <w:sz w:val="20"/>
              </w:rPr>
              <w:t>(for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dilutive effects of performance-based stock awards are included in the computation of diluted earnings per share to the extent the related performance criteria are met through the respective balance sheet reporting date. As of June 30, 2026 and 2025, potential dilutive securities representing 7.1 million and 7.9 million shares, respectively, were excluded from the computation of diluted earnings per share as the related performance criteria were not yet met, although the Company expects to meet various levels of criteria in the future.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 periods ended June 30, 2026 and 2025, we incurred a net loss to shareholders and the inclusion of RSUs would be anti-dilutive. The June 30, 2026 and 2025 diluted EPS calculations exclude the effect from 10.4 million and 10.8 million, respectively, of outstanding RSUs that were anti-dilutive. The June 30, 2026 and 2025 basic and dilutive EPS calculations also exclude the impact of the common stock warrant as the effect would be anti-dilutive.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Recently Adopted and Issued Accounting Standards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Financial Accounting Standards Board ("FASB") issued new guidance that amends certain aspects of the accounting and disclosure requirements for internal-use software costs. The amendments in the guidance remove all references to prescriptive and sequential software development stages, and also provide criteria for when an entity is required to start capitalizing software costs. The guidance is effective for our annual periods beginning in 2028 and interim periods within those annual reporting periods, with early adoption permitted. The guidance can be applied using a prospective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modified transition or retrospective transition approach. We are currently evaluating the potential impact that this new guidance will have on our Consolidated Financial Statements and related disclosures.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new guidance on disaggregation of income statement expenses. The guidance requires entities to disaggregate any relevant expense caption presented on the face of the income statement within continuing operations into the following required natural expense categories: (1) purchases of inventory, (2) employee compensation, (3) depreciation, (4) intangible asset amortization, and (5) depreciation, depletion and amortization recognized as part of oil-and gas-producing activities or other types of depletion expenses. Such disclosures must be made on an annual and interim basis in a tabular format in the footnotes to the financial statements. The guidance does not change the expense captions an entity presents on the face of the income statement. The guidance also provides clarification regarding identifying relevant expense captions. Furthermore, certain other expenses and gains or losses that must be disclosed under existing U.S. GAAP, and that are recorded in a relevant expense caption, must be presented in the same tabular disclosure on an annual, and, when applicable, interim basis. In addition, the guidance requires entities to disclose selling expenses on an annual and interim basis. The guidance does not define selling expenses, rather, entities will make their own determination of the composition of selling expenses and disclose the definition on an annual basis. The guidance is effective for our annual periods beginning in 2027 and interim periods beginning in the first quarter of 2028, with early adoption permitted. The guidance will be applied on a prospective basis, but retrospective application is permitted. We are currently evaluating the potential impact of adopting this new guidance on our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Acquisitions and Dispositions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Stations Swap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15, 2026, we completed the transaction with Gray Media, Inc. ("Gray") to swap television stations across five markets. We acquired Gray's KKTV (CBS) in Colorado Springs, Colorado; KKCO (NBC) and low power station KJCT-LP (ABC) in Grand Junction, Colorado; and KMVT (CBS) and low power station KSVT-LD (Fox) in Twin Falls, Idaho. Gray acquired WSYM (Fox) in Lansing, Michigan, and KATC (ABC) in Lafayette, Louisiana. The swap involved the even exchange of comparable businesses. As a result, neither company paid cash consideration to the other.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values of the assets acquired and liabilities assumed with the Gray stations swap.</w:t>
      </w:r>
    </w:p>
    <w:p>
      <w:pPr>
        <w:pStyle w:val="TextBody"/>
        <w:bidi w:val="0"/>
        <w:spacing w:before="0" w:after="0"/>
        <w:ind w:left="0" w:right="0" w:firstLine="450"/>
        <w:jc w:val="left"/>
        <w:rPr/>
      </w:pPr>
      <w:r>
        <w:rPr/>
      </w:r>
    </w:p>
    <w:tbl>
      <w:tblPr>
        <w:tblW w:w="5418" w:type="dxa"/>
        <w:jc w:val="left"/>
        <w:tblInd w:w="0" w:type="dxa"/>
        <w:tblLayout w:type="fixed"/>
        <w:tblCellMar>
          <w:top w:w="28" w:type="dxa"/>
          <w:left w:w="28" w:type="dxa"/>
          <w:bottom w:w="28" w:type="dxa"/>
          <w:right w:w="28" w:type="dxa"/>
        </w:tblCellMar>
      </w:tblPr>
      <w:tblGrid>
        <w:gridCol w:w="1449"/>
        <w:gridCol w:w="1275"/>
        <w:gridCol w:w="1281"/>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 FCC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Television network affiliation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advertiser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net assets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a $9.3 million pre-tax gain from the disposition of WSYM and KATC.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3, 2025, we reached an agreement to sell WFTX, our local Fox-affiliated station in Fort Myers, Florida, for $40.0 million and the transaction closed on March 2, 2026. We recognized a pre-tax gain from disposition totaling $5.6 million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2025, we reached an agreement to sell WRTV, our local ABC-affiliated station in Indianapolis, Indiana, for $83.0 million and the transaction closed on March 31, 2026. We recognized a pre-tax gain from the disposition totaling $28.0 million for the six months ended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committed to the sale of Court TV and recognized a $19.5 million non-cash charge in the fourth quarter of 2025, reflecting the difference between the carrying value of Court TV's net assets and the transaction consideration. On February 9, 2026, we closed on the sale of the network and have recognized a total pre-tax loss from disposition of $4.0 million for the six months ended June 30, 2026. With the sale, we also entered into a 3-year distribution agreement at market rates with the buyer. The distribution agreement provides for the continued carriage of Court TV on Scripps properties.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the assets and liabilities held for sale included in our Condensed Consolidated Balance Sheet as of December 31, 2025.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753"/>
        <w:gridCol w:w="1516"/>
        <w:gridCol w:w="1522"/>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175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Court 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carrying value to reflect estimated fair value less cost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Pending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our acquisition of ION Media in 2021, we simultaneously sold 23 ION television stations to INYO Broadcast Holdings ("INYO") to comply with ownership rules of the FCC. These divested stations became independent affiliates of ION pursuant to long-term affiliation agreements. In connection with this sale, we also received call options that granted us the right to acquire the assets of some or all of these 23 INYO television stations.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2026, we notified INYO of our exercise of all of the options. In addition to other customary closing conditions, any transaction would be subject to FCC consent and, in certain cases, waiver of FCC ownership rules. We also have the right to withdraw our exercise of any or all of the options at any time prior to closing without any further obligation other than reimbursing INYO for expenses. Each station is subject to a separate option, so the acquisition of individual station assets may occur at various dates or potentially not occur. In June 2026, we withdrew the option exercise for six of the INYO television stations to bring an INYO transaction under the national television ownership cap.</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aggregate purchase price for the exercise of options on the 17 INYO stations we have notified for exercise is approximately $47.0 million. However, the purchase price is based on formulas that will be contingent on the respective closing dates of any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4, 2026, we reached agreement to acquire WTVQ, the ABC affiliate in Lexington, Kentucky, for $15.8 million. During the first quarter of 2026, we provided a $5.0 million deposit to be applied against the purchase price at closing. While federal regulatory and other customary approvals were pending, we received revenue from and paid expenses related to WTVQ's operations through a local programming and marketing agreement. The transaction closed on August 1, 2026.</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we completed the sale of our West Palm Beach television station building for cash consideration of $40.0 million and recognized a pre-tax gain from disposition of $31.4 million. With the asset sale, we also entered into a 2.5-year building lease with the buyer for cash consideration of $2.5 million annually.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Restructuring Costs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Restructuring activities reflect programs that fundamentally change our operations, such as divestitures, closing or consolidating facilities, employee severance charges (including rationalizing headcount or other significant changes in personnel) and realignment of existing operations (including changes in management structure in response to underlying performance and/or changing market conditions).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2026, we announced an enterprise-wide transformation plan that is designed to improve operating performance and unlock new value through targeted annualized enterprise EBITDA growth. We expect to fully operationalize this plan by the end of 2028 through cost savings and revenue growth initiatives that will leverage technology including artificial intelligence and automation and increase revenue yield on our existing businesses.</w:t>
      </w:r>
    </w:p>
    <w:p>
      <w:pPr>
        <w:pStyle w:val="TextBody"/>
        <w:bidi w:val="0"/>
        <w:spacing w:before="0" w:after="0"/>
        <w:ind w:left="0" w:right="0" w:hanging="54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costs in the second quarter of 2026 and 2025 totaled $35.8 million and $0.6 million, respectively. Year-to-date restructuring costs totaled $36.5 million and $4.8 million in 2026 and 2025, respectively. Restructuring costs in 2026 included $12.1 million in asset losses following strategic programming assessments, severance charges of $4.5 million, operating lease exit costs of $3.5 million and contract exit costs of $2.7 million. Remaining 2026 restructuring costs consisted of $13.7 million in outside consulting fees associated with the enterprise-wide transformation plan. Restructuring costs in 2025 included severance charges of $2.6 million and operating lease exit costs of $2.1 million related to prior strategic reorganization efforts. </w:t>
      </w:r>
    </w:p>
    <w:p>
      <w:pPr>
        <w:pStyle w:val="TextBody"/>
        <w:bidi w:val="0"/>
        <w:spacing w:before="0" w:after="0"/>
        <w:jc w:val="left"/>
        <w:rPr/>
      </w:pPr>
      <w:r>
        <w:rPr/>
      </w:r>
    </w:p>
    <w:tbl>
      <w:tblPr>
        <w:tblW w:w="10121" w:type="dxa"/>
        <w:jc w:val="left"/>
        <w:tblInd w:w="0" w:type="dxa"/>
        <w:tblLayout w:type="fixed"/>
        <w:tblCellMar>
          <w:top w:w="28" w:type="dxa"/>
          <w:left w:w="28" w:type="dxa"/>
          <w:bottom w:w="28" w:type="dxa"/>
          <w:right w:w="28" w:type="dxa"/>
        </w:tblCellMar>
      </w:tblPr>
      <w:tblGrid>
        <w:gridCol w:w="1043"/>
        <w:gridCol w:w="914"/>
        <w:gridCol w:w="922"/>
        <w:gridCol w:w="109"/>
        <w:gridCol w:w="109"/>
        <w:gridCol w:w="109"/>
        <w:gridCol w:w="646"/>
        <w:gridCol w:w="1886"/>
        <w:gridCol w:w="333"/>
        <w:gridCol w:w="109"/>
        <w:gridCol w:w="109"/>
        <w:gridCol w:w="109"/>
        <w:gridCol w:w="544"/>
        <w:gridCol w:w="1589"/>
        <w:gridCol w:w="282"/>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June 30, 2026 and 2025</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and Employee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Restructuring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Non-cash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576" w:type="dxa"/>
        <w:jc w:val="left"/>
        <w:tblInd w:w="0" w:type="dxa"/>
        <w:tblLayout w:type="fixed"/>
        <w:tblCellMar>
          <w:top w:w="28" w:type="dxa"/>
          <w:left w:w="28" w:type="dxa"/>
          <w:bottom w:w="28" w:type="dxa"/>
          <w:right w:w="28" w:type="dxa"/>
        </w:tblCellMar>
      </w:tblPr>
      <w:tblGrid>
        <w:gridCol w:w="1043"/>
        <w:gridCol w:w="917"/>
        <w:gridCol w:w="919"/>
        <w:gridCol w:w="109"/>
        <w:gridCol w:w="109"/>
        <w:gridCol w:w="109"/>
        <w:gridCol w:w="211"/>
        <w:gridCol w:w="616"/>
        <w:gridCol w:w="109"/>
        <w:gridCol w:w="109"/>
        <w:gridCol w:w="109"/>
        <w:gridCol w:w="109"/>
        <w:gridCol w:w="215"/>
        <w:gridCol w:w="475"/>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Non-cash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Represents share-based compensation costs and asset write-downs included in restructuring charges.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Income Taxes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file a consolidated federal income tax return, consolidated unitary tax returns in certain states and other separate state income tax returns for our subsidiary companies.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income tax provision for interim periods is determined based upon the expected effective income tax rate for the full year and the tax rate applicable to certain discrete transactions in the interim period. To determine the annual effective income tax rate, we must estimate both the total income (loss) before income tax for the full year and the jurisdictions in which that income (loss) is subject to tax. The actual effective income tax rate for the full year may differ from these estimates if income (loss) before income tax is greater than or less than what was estimated or if the allocation of income (loss) to jurisdictions in which it is taxed is different from the estimated allocations. We review and adjust our estimated effective income tax rate for the full year each quarter based upon our most recent estimates of income (loss) before income tax for the full year and the jurisdictions in which we expect that income will be taxed.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six months ended June 30, 2026 and 2025 was 4.9% and 5.2%,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($1.7 million benefit in 2026 and $2.1 million expense in 2025), state deferred rate changes ($0.2 million benefit in 2026 and $1.4 million expense in 2025) and state NOL valuation allowance changes. Additionally, in the second quarter of 2026, the income tax provision was impacted by a net discrete tax provision benefit of $23.9 million related to book impairment of tax deductible goodwill.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recognize state NOL carryforwards as deferred tax assets, subject to valuation allowances. At each balance sheet date, we estimate the amount of carryforwards that are not expected to be used prior to expiration of the carryforward period. The tax effect of the carryforwards that are not expected to be used prior to their expiration is included in the valuation allowance.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Restricted Cash</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June 30, 2026, we had restricted cash of $11.3 million. This cash is being held in escrow from the sales of our local broadcast station, WFTX, in Fort Myers, Florida, and our local broadcast station, WRTV, in Indianapolis, Indiana, which were completed during the first quarter of 2026.</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Leases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operating leases for office space, data centers and certain equipment. Our operating leases have lease terms of 1 year to 30 years, some of which may include options to extend the leases for up to 5 years, and some of which may include options to terminate the leases within 1 year. We also have a finance lease for office space that has a remaining lease term of 32 years. Operating lease costs recognized in our Condensed Consolidated Statements of Operations for the three months ended June 30, 2026 and 2025 totaled $5.8 million and $6.0 million, respectively, including short-term lease costs of $1.6 million for both the three months ended June 30, 2026 and 2025. Year-to-date June 30, 2026 and 2025 operating lease costs totaled $12.4 million and $11.5 million, respectively, including short-term lease costs of $3.2 million and $3.4 million, respectively. Amortization of the right-of-use asset for our finance leases totaled $0.2 million for both the three months ended June 30, 2026 and 2025 and $0.4 million for both the six months ended June 30, 2026 and 2025. Interest expense on the finance leases liability totaled $0.5 million for both the three months ended June 30, 2026 and 2025 and $1.1 million for both the six months ended June 30, 2026 and 2025.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our leases was as follows:</w:t>
      </w:r>
    </w:p>
    <w:tbl>
      <w:tblPr>
        <w:tblW w:w="7360" w:type="dxa"/>
        <w:jc w:val="left"/>
        <w:tblInd w:w="0" w:type="dxa"/>
        <w:tblLayout w:type="fixed"/>
        <w:tblCellMar>
          <w:top w:w="28" w:type="dxa"/>
          <w:left w:w="28" w:type="dxa"/>
          <w:bottom w:w="28" w:type="dxa"/>
          <w:right w:w="28" w:type="dxa"/>
        </w:tblCellMar>
      </w:tblPr>
      <w:tblGrid>
        <w:gridCol w:w="1521"/>
        <w:gridCol w:w="1335"/>
        <w:gridCol w:w="1343"/>
        <w:gridCol w:w="109"/>
        <w:gridCol w:w="109"/>
        <w:gridCol w:w="109"/>
        <w:gridCol w:w="211"/>
        <w:gridCol w:w="721"/>
        <w:gridCol w:w="271"/>
        <w:gridCol w:w="109"/>
        <w:gridCol w:w="109"/>
        <w:gridCol w:w="109"/>
        <w:gridCol w:w="220"/>
        <w:gridCol w:w="754"/>
        <w:gridCol w:w="330"/>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years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years</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Discount 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3"/>
        <w:gridCol w:w="1561"/>
        <w:gridCol w:w="156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77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4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Flows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lease payments under non-cancellable leases as of June 30, 2026 were as follows: </w:t>
      </w:r>
    </w:p>
    <w:tbl>
      <w:tblPr>
        <w:tblW w:w="6080" w:type="dxa"/>
        <w:jc w:val="center"/>
        <w:tblInd w:w="0" w:type="dxa"/>
        <w:tblLayout w:type="fixed"/>
        <w:tblCellMar>
          <w:top w:w="28" w:type="dxa"/>
          <w:left w:w="28" w:type="dxa"/>
          <w:bottom w:w="28" w:type="dxa"/>
          <w:right w:w="28" w:type="dxa"/>
        </w:tblCellMar>
      </w:tblPr>
      <w:tblGrid>
        <w:gridCol w:w="1193"/>
        <w:gridCol w:w="1051"/>
        <w:gridCol w:w="1055"/>
        <w:gridCol w:w="109"/>
        <w:gridCol w:w="109"/>
        <w:gridCol w:w="109"/>
        <w:gridCol w:w="211"/>
        <w:gridCol w:w="721"/>
        <w:gridCol w:w="109"/>
        <w:gridCol w:w="109"/>
        <w:gridCol w:w="109"/>
        <w:gridCol w:w="109"/>
        <w:gridCol w:w="211"/>
        <w:gridCol w:w="721"/>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Goodwill and Other Intangible Assets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consisted of the following:</w:t>
      </w:r>
    </w:p>
    <w:tbl>
      <w:tblPr>
        <w:tblW w:w="10099" w:type="dxa"/>
        <w:jc w:val="left"/>
        <w:tblInd w:w="0" w:type="dxa"/>
        <w:tblLayout w:type="fixed"/>
        <w:tblCellMar>
          <w:top w:w="28" w:type="dxa"/>
          <w:left w:w="28" w:type="dxa"/>
          <w:bottom w:w="28" w:type="dxa"/>
          <w:right w:w="28" w:type="dxa"/>
        </w:tblCellMar>
      </w:tblPr>
      <w:tblGrid>
        <w:gridCol w:w="1339"/>
        <w:gridCol w:w="1180"/>
        <w:gridCol w:w="1185"/>
        <w:gridCol w:w="109"/>
        <w:gridCol w:w="109"/>
        <w:gridCol w:w="109"/>
        <w:gridCol w:w="211"/>
        <w:gridCol w:w="976"/>
        <w:gridCol w:w="109"/>
        <w:gridCol w:w="109"/>
        <w:gridCol w:w="109"/>
        <w:gridCol w:w="109"/>
        <w:gridCol w:w="246"/>
        <w:gridCol w:w="1141"/>
        <w:gridCol w:w="127"/>
        <w:gridCol w:w="109"/>
        <w:gridCol w:w="109"/>
        <w:gridCol w:w="109"/>
        <w:gridCol w:w="211"/>
        <w:gridCol w:w="616"/>
        <w:gridCol w:w="109"/>
        <w:gridCol w:w="109"/>
        <w:gridCol w:w="109"/>
        <w:gridCol w:w="109"/>
        <w:gridCol w:w="211"/>
        <w:gridCol w:w="976"/>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television stations in Gray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television stations from Gray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(1,936,454)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intangible assets consisted of the following:</w:t>
      </w:r>
    </w:p>
    <w:tbl>
      <w:tblPr>
        <w:tblW w:w="7430" w:type="dxa"/>
        <w:jc w:val="left"/>
        <w:tblInd w:w="0" w:type="dxa"/>
        <w:tblLayout w:type="fixed"/>
        <w:tblCellMar>
          <w:top w:w="28" w:type="dxa"/>
          <w:left w:w="28" w:type="dxa"/>
          <w:bottom w:w="28" w:type="dxa"/>
          <w:right w:w="28" w:type="dxa"/>
        </w:tblCellMar>
      </w:tblPr>
      <w:tblGrid>
        <w:gridCol w:w="1498"/>
        <w:gridCol w:w="1317"/>
        <w:gridCol w:w="1324"/>
        <w:gridCol w:w="109"/>
        <w:gridCol w:w="109"/>
        <w:gridCol w:w="109"/>
        <w:gridCol w:w="211"/>
        <w:gridCol w:w="976"/>
        <w:gridCol w:w="109"/>
        <w:gridCol w:w="109"/>
        <w:gridCol w:w="109"/>
        <w:gridCol w:w="109"/>
        <w:gridCol w:w="211"/>
        <w:gridCol w:w="976"/>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4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Television network affiliation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advertiser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Television network affiliation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lists and advertiser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 FCC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of intangible assets for each of the next five years is $39.1 million for the remainder of 2026, $74.0 million in 2027, $52.6 million in 2028, $47.8 million in 2029, $47.8 million in 2030, $38.2 million in 2031 and $241.7 million in later years.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our acquisition of ION Media in 2021, we simultaneously sold 23 ION television stations to INYO Broadcast Holdings to comply with ownership rules of the FCC. These divested stations became independent affiliates of ION pursuant to long-term affiliation agreements. The purchase price allocation for the ION acquisition attributed $422 million of value to these INYO affiliation agreements and are reflected as an intangible asset within our "Television network affiliation relationship" caption. The INYO affiliation agreements intangible asset was established with a 20 year useful life.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and other indefinite-lived intangible assets are tested for impairment annually and any time events occur or changes in circumstances indicate it is more likely than not the fair value of a reporting unit, or respective indefinite-lived intangible asset, is below its carrying value. Such events or changes in circumstances include, but are not limited to, changes in business climate, sustained declines in the price of our stock, or other factors resulting in lower cash flow related to such assets.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the carrying amount exceeds its fair value, then an impairment loss is recognized. Following completion of our 2025 annual goodwill impairment testing, we concluded that the fair value of our Local Media reporting unit exceeded its carrying value by more than 20% and that the fair value of our Scripps Networks reporting unit exceeded its carrying value by approximately 5%.</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Scripps Networks business has experienced lower than projected financial results reflecting the impact of continued pressure from a weak national advertising market, ratings challenges, including impacts from the Nielsen methodology changes, and broader macroeconomic uncertainty. These factors have negatively impacted expected future growth rates, profitability and the cash flows derived from the business, as well as, the expected period of time over which those cash flows will occur, and provided an indication that the fair value of our Scripps Networks reporting unit may be below its carrying value at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analysis to measure the extent of any goodwill impairment compares the estimated fair values of our reporting units to their respective carrying values. We determine fair value of our reporting units generally using market data, appraised values and discounted cash flow analyses. The use of a discounted cash flow analysis requires significant judgment to estimate the future cash flows derived from the business and the period of time over which those cash flows will occur, as well as to determine an appropriate discount rate. The determination of the discount rate is based on a cost of capital model, using a risk-free rate, adjusted by a stock-beta adjusted risk premium and a size premium. These reporting unit valuations are dependent on a number of significant estimates and assumptions, including macroeconomic conditions, market growth rates, competitive activities, cost containment, margin expansion and strategic business plans (inputs of which are categorized as Level 3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hierarchy). Additionally, future changes in these assumptions and estimates with respect to long-term growth rates and discount rates or future cash flow projections, could result in significantly different estimates of the fair values.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completion of a second quarter 2026 impairment test, we concluded that the fair value of our Scripps Networks reporting unit did not exceed its carrying value and we recognized a non-cash charge of $967 million to reduce the carrying value of goodwill and $169 million to reduce the value of intangible assets.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Long-Term Debt </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7356" w:type="dxa"/>
        <w:jc w:val="left"/>
        <w:tblInd w:w="0" w:type="dxa"/>
        <w:tblLayout w:type="fixed"/>
        <w:tblCellMar>
          <w:top w:w="28" w:type="dxa"/>
          <w:left w:w="28" w:type="dxa"/>
          <w:bottom w:w="28" w:type="dxa"/>
          <w:right w:w="28" w:type="dxa"/>
        </w:tblCellMar>
      </w:tblPr>
      <w:tblGrid>
        <w:gridCol w:w="1470"/>
        <w:gridCol w:w="1294"/>
        <w:gridCol w:w="1301"/>
        <w:gridCol w:w="109"/>
        <w:gridCol w:w="109"/>
        <w:gridCol w:w="109"/>
        <w:gridCol w:w="211"/>
        <w:gridCol w:w="976"/>
        <w:gridCol w:w="109"/>
        <w:gridCol w:w="109"/>
        <w:gridCol w:w="109"/>
        <w:gridCol w:w="109"/>
        <w:gridCol w:w="211"/>
        <w:gridCol w:w="97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4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in January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in 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in 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Term loan, due in June 2028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November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outstanding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and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carrying value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2,487,833 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The fair values of debt are estimated based on either quoted private market transactions or observable estimates provided by third party financial professionals, and as such, are classified within Level 2 of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Securitization Facility</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10, 2025, we entered into a three-year accounts receivable securitization facility, scheduled to terminate April 10, 2028, with aggregate commitments of up to $450 million. Under the securitization facility, we sell eligible accounts receivable balances to our wholly owned special purpose entities, Scripps SPV Midco, LLC and Scripps SPV, LLC (the “Accounts Receivable Securitization Special Purpose Subsidiaries”). The Accounts Receivable Securitization Special Purpose Subsidiaries are consolidated subsidiaries of Scripps and use the accounts receivable balances to collateralize loans obtained from financial institutions. The facility is subject to interest charges, at the one-month term secured overnight financing rate ("SOFR"), subject to a 1.00% floor with a blended spread of 3.69% based on customary assumptions. We recognized approximately $6.0 million of deferred financing costs related to the securitization facility. The securitization facility is accounted for as a collateralized financing activity, rather than a sale of assets, and therefore: (i) accounts receivable balances pledged as collateral are presented as assets and borrowings are presented as liabilities on our Condensed Consolidated Balance Sheets, (ii) our Condensed Consolidated Statements of Operations reflect the associated charges for bad debt expense related to pledged accounts receivable, as well as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 Scripps retains the responsibility of servicing the accounts receivable balances pledged as collateral for the securitization facility and also provides a performance guaranty. The maximum availability allowed is limited by our eligible accounts receivable balances, as defined under the terms of the securitization facility. As of June 30, 2026, we had $314 million outstanding under the securitization facility, with a maximum availability allowed of $336 million. As of June 30, 2026 and December 31, 2025, the interest rate on the securitization facility was 7.34% and 7.29%,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Scripps Senior Secured Credit Agreement</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we amended our credit agreement. Under the amended terms, we have a revolving credit facility with aggregate commitments of up to $200 million, maturing on July 7, 2029, and a non-extended revolving credit facility with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commitments of up to $8.0 million, maturing on July 7, 2027. Commitment fees of 0.30% to 0.50% per annum, based on our leverage ratio, of the total unused commitment are payable under the revolving credit facilities. For both the $200 million revolving credit facility and the non-extended revolving credit facility, interest is payable at a rate based on SOFR, plus a margin of 5.50%. We recognized approximately $2.6 million of deferred financing costs related to the April 30, 2026 amendment of our revolving credit facilities. As of June 30, 2026, there were no borrowings under our revolving credit facilities. The weighted-average interest rate during the periods in which we had a drawn revolver balance was 9.37% and 7.73% for the six months ended June 30, 2026 and 2025, respectively. As of June 30, 2026 and December 31, 2025, we had outstanding letters of credit totaling $8.9 million under our revolving credit facilities.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10, 2025, we issued a $545 million tranche B-2 term loan ("June 2028 term loan") that matures in June 2028. Interest is currently payable on the June 2028 term loan at a rate based on SOFR, plus a margin of 5.75%. Deferred financing costs and original issuance discount totaled approximately $14.3 million with this term loan, which are being amortized over the life of the loan. As of June 30, 2026 and December 31, 2025, the interest rate on the June 2028 term loan was 9.50% and 9.60%, respectively. The weighted-average interest rate on the June 2028 term loan was 9.53% for the six months ended June 30, 2026 and 10.18% for the period of April 10, 2025 through June 30, 2025.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10, 2025, we also issued a $340 million tranche B-3 term loan ("November 2029 term loan") that matures in November 2029. Interest is currently payable on the November 2029 term loan at a rate based on SOFR, plus a margin of 3.35%. Deferred financing costs and original issuance discount totaled approximately $8.9 million with this term loan, which are being amortized over the life of the loan. As of June 30, 2026 and December 31, 2025, the interest rate on the November 2029 term loan was 7.10% and 7.20%, respectively. The weighted-average interest rate on the November 2029 term loan was 7.13% for the six months ended June 30, 2026 and 7.78% for the period of April 10, 2025 through June 30,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31, 2026, we made principal pre-payments totaling $30.6 million on our June 2028 and November 2029 term loans. On April 30, 2026, we made an additional $30.0 million principal pre-payment on the June 2028 term loan. With these pre-payments, we wrote-off $0.6 million of deferred financing costs to interest expense and incurred a $0.9 million loss on extinguishment of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incurred $38.1 million of non-capitalized transaction costs when we completed a series of previously announced refinancing transactions. These costs are reflected in the caption "Other financing transaction costs" in our Condensed Consolidated Statements of Operations. With the resulting debt proceeds generated from these refinancing transactions, we paid off the remaining $719 million balance for our term loan that was due to mature in May 2026 and paid off the remaining $541 million balance for our term loan that was due to mature in January 2028. In connection with the retirement of these term loans during the second quarter of 2025, we wrote-off $5.6 million of deferred financing costs to interest expense and also incurred a $3.0 million loss on extinguishment of debt.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weighted-average interest rate on the May 2026 term loan was 7.01% for the period of January 1, 2025 through April 10, 2025. The weighted-average interest rate on the January 2028 term loan was 7.44% for the period of January 1, 2025 through April 10, 2025.</w:t>
      </w:r>
    </w:p>
    <w:p>
      <w:pPr>
        <w:pStyle w:val="TextBody"/>
        <w:bidi w:val="0"/>
        <w:spacing w:before="0" w:after="0"/>
        <w:ind w:left="0" w:right="0" w:firstLine="450"/>
        <w:jc w:val="both"/>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covenants that, among other things, limit our ability to incur additional debt and provides for restrictions on certain payments (dividends and share repurchases). Additionally, we must be in compliance with certain leverage ratios in order to proceed with acquisitions. Our credit agreement also includes a provision that in certain circumstances we must use a portion of excess cash flow to repay debt. We granted the lenders pledges of our equity interests in our subsidiaries and security interests in substantially all other personal property, including cash and equipment. The credit agreement also contains covenants to comply with a maximum first lien net leverage ratio. For the revolving credit facilities, we must comply with a maximum first lien net leverage ratio of 3.50 to 1.0 through September 30, 2026, at which point it steps down to 3.25 times for the fiscal quarter ended December 31, 2026, and thereafter. As of June 30, 2026, we were in compliance with our financial covenants.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2020, we issued $550 million of senior secured notes (the "2029 Senior Notes"), which bear interest at a rate of 3.875% per annum and mature on January 15, 2029. The 2029 Senior Notes were priced at 100% of par value and interest is payable semi-annually on January 15 and July 15. If we sell certain of our assets or have a change of control, the holders of the 2029 Senior Notes may require us to repurchase some or all of the notes. Our credit agreement also includes a provision that in certain circumstances we must use a portion of excess cash flow to repay debt. The 2029 Senior Notes are guaranteed by us and the majority of our subsidiaries and are secured on equal footing with the obligations under the Senior Secured Credit Agreement. The notes are secured, on a first lien basis, from pledges of equity interests in our subsidiaries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substantially all of the existing and future assets of Scripps. The 2029 Senior Notes contain covenants with which we must comply that are typical for borrowing transactions of this nature.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incurred approximately $13.8 million of deferred financing costs in connection with the issuance of the 2029 Senior Notes, which are being amortized over the life of the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2030 Senior Secured Notes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6, 2025, we issued $750 million of senior secured second lien notes (the "2030 Senior Notes"), which bear interest at a rate of 9.875% per annum and mature on August 15, 2030. The 2030 Senior Notes were priced at 99.509% of par value and interest is payable semi-annually on August 15 and February 15. We may redeem some or all of the 2030 Senior Notes before August 15, 2027 at a redemption price of 100% of the principal amount, plus accrued and unpaid interest, if any, to the redemption date plus a "make whole" premium. On and after August 15, 2027, we may redeem the notes, in whole or in part, at applicable redemption prices noted in the indenture agreement. The 2030 Senior Notes are guaranteed on a senior secured second lien basis by substantially all of our domestic subsidiaries and each existing and future material, wholly-owned domestic subsidiary, subject to certain exceptions (including with respect to permitted securitization facility related entities). The 2030 Senior Notes and the related guarantees are secured by a second priority lien on substantially all of the assets of the Company and the guarantors, subject to permitted liens and certain other exceptions. The Indenture contains covenants that, among other things and subject to certain exceptions, limit the Company’s ability and the ability of its restricted subsidiaries to incur certain additional debt, incur certain liens securing debt, pay certain dividends or make other restricted payments, make certain investments, make certain asset sales and enter into certain transactions with affiliates. The 2030 Senior Notes contain covenants with which we must comply that are typical for borrowing transactions of this nature.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incurred approximately $27.8 million of deferred financing costs in connection with the issuance of the 2030 Senior Notes, which are being amortized over the life of the notes.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2027 Senior Unsecured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26, 2019, we issued $500 million of senior unsecured notes, which bore interest at a rate of 5.875% per annum and were due to mature on July 15, 2027 ("the 2027 Senior Notes").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 the debt proceeds from the August 6, 2025 issuance of the 2030 Senior Notes, we redeemed the $426 million outstanding principal amount of the 2027 Senior Notes at a weighted-average redemption price equal to 100% of the aggregate principal amount outstanding, plus accrued and unpaid interest. </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2031 Senior Unsecured Notes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30, 2020, we issued $500 million of senior unsecured notes (the "2031 Senior Notes"), which bear interest at a rate of 5.375% per annum and mature on January 15, 2031. The 2031 Senior Notes were priced at 100% of par value and interest is payable semi-annually on January 15 and July 15. On or after January 15, 2026 and before January 15, 2029, we may redeem the notes, in whole or in part, at applicable redemption prices noted in the indenture agreement. If we sell certain of our assets or have a change of control, the holders of the 2031 Senior Notes may require us to repurchase some or all of the notes. The 2031 Senior Notes are also guaranteed by us and the majority our subsidiaries. The 2031 Senior Notes contain covenants with which we must comply that are typical for borrowing transactions of this nature.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incurred approximately $12.5 million of deferred financing costs in connection with the issuance of the 2031 Senior Notes, which are being amortized over the life of the notes.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Other Liabilities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liabilities consisted of the following:</w:t>
      </w:r>
    </w:p>
    <w:tbl>
      <w:tblPr>
        <w:tblW w:w="6269" w:type="dxa"/>
        <w:jc w:val="left"/>
        <w:tblInd w:w="0" w:type="dxa"/>
        <w:tblLayout w:type="fixed"/>
        <w:tblCellMar>
          <w:top w:w="28" w:type="dxa"/>
          <w:left w:w="28" w:type="dxa"/>
          <w:bottom w:w="28" w:type="dxa"/>
          <w:right w:w="28" w:type="dxa"/>
        </w:tblCellMar>
      </w:tblPr>
      <w:tblGrid>
        <w:gridCol w:w="1144"/>
        <w:gridCol w:w="1008"/>
        <w:gridCol w:w="1013"/>
        <w:gridCol w:w="109"/>
        <w:gridCol w:w="109"/>
        <w:gridCol w:w="109"/>
        <w:gridCol w:w="211"/>
        <w:gridCol w:w="826"/>
        <w:gridCol w:w="109"/>
        <w:gridCol w:w="109"/>
        <w:gridCol w:w="109"/>
        <w:gridCol w:w="109"/>
        <w:gridCol w:w="231"/>
        <w:gridCol w:w="905"/>
        <w:gridCol w:w="168"/>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FCC repack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pension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369,089 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Supplemental Cash Flow Information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about the change in certain working capital accounts:</w:t>
      </w:r>
    </w:p>
    <w:tbl>
      <w:tblPr>
        <w:tblW w:w="6711" w:type="dxa"/>
        <w:jc w:val="left"/>
        <w:tblInd w:w="0" w:type="dxa"/>
        <w:tblLayout w:type="fixed"/>
        <w:tblCellMar>
          <w:top w:w="28" w:type="dxa"/>
          <w:left w:w="28" w:type="dxa"/>
          <w:bottom w:w="28" w:type="dxa"/>
          <w:right w:w="28" w:type="dxa"/>
        </w:tblCellMar>
      </w:tblPr>
      <w:tblGrid>
        <w:gridCol w:w="1395"/>
        <w:gridCol w:w="1227"/>
        <w:gridCol w:w="1233"/>
        <w:gridCol w:w="109"/>
        <w:gridCol w:w="109"/>
        <w:gridCol w:w="109"/>
        <w:gridCol w:w="211"/>
        <w:gridCol w:w="721"/>
        <w:gridCol w:w="109"/>
        <w:gridCol w:w="109"/>
        <w:gridCol w:w="109"/>
        <w:gridCol w:w="109"/>
        <w:gridCol w:w="211"/>
        <w:gridCol w:w="79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Employee Benefit Plans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sponsor a noncontributory defined benefit pension plan and non-qualified Supplemental Executive Retirement Plans ("SERPs"). The accrual for future benefits has been frozen in our defined benefit pension plan and SERPs.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sponsor a defined contribution plan covering substantially all non-union and certain union employees. We match a portion of employees' voluntary contributions to this plan.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union-represented employees are covered by defined benefit pension plans jointly sponsored by us and the union, or by union-sponsored multi-employer plans.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the employee benefit plan expense consisted of the following: </w:t>
      </w:r>
    </w:p>
    <w:tbl>
      <w:tblPr>
        <w:tblW w:w="9597" w:type="dxa"/>
        <w:jc w:val="left"/>
        <w:tblInd w:w="0" w:type="dxa"/>
        <w:tblLayout w:type="fixed"/>
        <w:tblCellMar>
          <w:top w:w="28" w:type="dxa"/>
          <w:left w:w="28" w:type="dxa"/>
          <w:bottom w:w="28" w:type="dxa"/>
          <w:right w:w="28" w:type="dxa"/>
        </w:tblCellMar>
      </w:tblPr>
      <w:tblGrid>
        <w:gridCol w:w="1551"/>
        <w:gridCol w:w="1366"/>
        <w:gridCol w:w="1373"/>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 net of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 and 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defined benefit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contributed $0.6 million to fund current benefit payments for our SERPs during the six months ended June 30, 2026. During the remainder of 2026, we anticipate contributing an additional $0.7 million to fund the SERPs' benefit payments. Additionally, during the remainder of 2026, we have required pension plan contributions totaling $4.7 million.</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Segment Information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our operating segments based upon our management and internal reporting structure, as well as the basis that our chief operating decision maker makes resource-allocation decisions.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Local Media segment includes more than 60 local television stations and their related digital operations. It is comprised of 18 ABC affiliates, 12 NBC affiliates, 11 CBS affiliates and three FOX affiliates. We also have 13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Scripps Networks segment includes national news outlet Scripps News as well as popular entertainment brands ION, Bounce, Grit, ION Mystery, ION Plus and Laff. The Scripps Networks reach nearly every U.S. television home through free over-the-air broadcast, cable/satellite, connected TV and/or digital distribution. These operations earn revenue primarily through the sale of advertising.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President and Chief Executive Officer is the Company's chief operating decision maker. He evaluates the monthly operating performance of our segments, including budget-to-actual variances, and makes decisions about the allocation of resources to our segments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our segments is as follows:</w:t>
      </w:r>
    </w:p>
    <w:p>
      <w:pPr>
        <w:pStyle w:val="TextBody"/>
        <w:bidi w:val="0"/>
        <w:spacing w:before="0" w:after="0"/>
        <w:ind w:left="0" w:right="0" w:firstLine="450"/>
        <w:jc w:val="left"/>
        <w:rPr/>
      </w:pPr>
      <w:r>
        <w:rPr/>
      </w:r>
    </w:p>
    <w:tbl>
      <w:tblPr>
        <w:tblW w:w="9851" w:type="dxa"/>
        <w:jc w:val="left"/>
        <w:tblInd w:w="0" w:type="dxa"/>
        <w:tblLayout w:type="fixed"/>
        <w:tblCellMar>
          <w:top w:w="28" w:type="dxa"/>
          <w:left w:w="28" w:type="dxa"/>
          <w:bottom w:w="28" w:type="dxa"/>
          <w:right w:w="28" w:type="dxa"/>
        </w:tblCellMar>
      </w:tblPr>
      <w:tblGrid>
        <w:gridCol w:w="1720"/>
        <w:gridCol w:w="1515"/>
        <w:gridCol w:w="1520"/>
        <w:gridCol w:w="109"/>
        <w:gridCol w:w="109"/>
        <w:gridCol w:w="109"/>
        <w:gridCol w:w="218"/>
        <w:gridCol w:w="854"/>
        <w:gridCol w:w="112"/>
        <w:gridCol w:w="109"/>
        <w:gridCol w:w="109"/>
        <w:gridCol w:w="109"/>
        <w:gridCol w:w="279"/>
        <w:gridCol w:w="1092"/>
        <w:gridCol w:w="144"/>
        <w:gridCol w:w="109"/>
        <w:gridCol w:w="109"/>
        <w:gridCol w:w="109"/>
        <w:gridCol w:w="211"/>
        <w:gridCol w:w="1051"/>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Local Media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loss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 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 Other segment items for each reportable segment includes marketing and advertising expenses, research costs, certain occupancy costs and other administrative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before="0" w:after="0"/>
        <w:jc w:val="left"/>
        <w:rPr/>
      </w:pPr>
      <w:r>
        <w:rPr/>
      </w:r>
    </w:p>
    <w:tbl>
      <w:tblPr>
        <w:tblW w:w="9626" w:type="dxa"/>
        <w:jc w:val="left"/>
        <w:tblInd w:w="0" w:type="dxa"/>
        <w:tblLayout w:type="fixed"/>
        <w:tblCellMar>
          <w:top w:w="28" w:type="dxa"/>
          <w:left w:w="28" w:type="dxa"/>
          <w:bottom w:w="28" w:type="dxa"/>
          <w:right w:w="28" w:type="dxa"/>
        </w:tblCellMar>
      </w:tblPr>
      <w:tblGrid>
        <w:gridCol w:w="1720"/>
        <w:gridCol w:w="1515"/>
        <w:gridCol w:w="1520"/>
        <w:gridCol w:w="109"/>
        <w:gridCol w:w="109"/>
        <w:gridCol w:w="109"/>
        <w:gridCol w:w="218"/>
        <w:gridCol w:w="854"/>
        <w:gridCol w:w="112"/>
        <w:gridCol w:w="109"/>
        <w:gridCol w:w="109"/>
        <w:gridCol w:w="109"/>
        <w:gridCol w:w="279"/>
        <w:gridCol w:w="1092"/>
        <w:gridCol w:w="144"/>
        <w:gridCol w:w="109"/>
        <w:gridCol w:w="109"/>
        <w:gridCol w:w="109"/>
        <w:gridCol w:w="211"/>
        <w:gridCol w:w="82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Local Media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loss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 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 Other segment items for each reportable segment includes marketing and advertising expenses, research costs, certain occupancy costs and other administrative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before="0" w:after="0"/>
        <w:jc w:val="left"/>
        <w:rPr/>
      </w:pPr>
      <w:r>
        <w:rPr/>
      </w:r>
    </w:p>
    <w:tbl>
      <w:tblPr>
        <w:tblW w:w="9851" w:type="dxa"/>
        <w:jc w:val="left"/>
        <w:tblInd w:w="0" w:type="dxa"/>
        <w:tblLayout w:type="fixed"/>
        <w:tblCellMar>
          <w:top w:w="28" w:type="dxa"/>
          <w:left w:w="28" w:type="dxa"/>
          <w:bottom w:w="28" w:type="dxa"/>
          <w:right w:w="28" w:type="dxa"/>
        </w:tblCellMar>
      </w:tblPr>
      <w:tblGrid>
        <w:gridCol w:w="1720"/>
        <w:gridCol w:w="1515"/>
        <w:gridCol w:w="1520"/>
        <w:gridCol w:w="109"/>
        <w:gridCol w:w="109"/>
        <w:gridCol w:w="109"/>
        <w:gridCol w:w="218"/>
        <w:gridCol w:w="854"/>
        <w:gridCol w:w="112"/>
        <w:gridCol w:w="109"/>
        <w:gridCol w:w="109"/>
        <w:gridCol w:w="109"/>
        <w:gridCol w:w="279"/>
        <w:gridCol w:w="1092"/>
        <w:gridCol w:w="144"/>
        <w:gridCol w:w="109"/>
        <w:gridCol w:w="109"/>
        <w:gridCol w:w="109"/>
        <w:gridCol w:w="211"/>
        <w:gridCol w:w="1051"/>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Local Media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loss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 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 Other segment items for each reportable segment includes marketing and advertising expenses, research costs, certain occupancy costs and other administrative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720"/>
        <w:gridCol w:w="1515"/>
        <w:gridCol w:w="1520"/>
        <w:gridCol w:w="109"/>
        <w:gridCol w:w="109"/>
        <w:gridCol w:w="109"/>
        <w:gridCol w:w="218"/>
        <w:gridCol w:w="854"/>
        <w:gridCol w:w="112"/>
        <w:gridCol w:w="109"/>
        <w:gridCol w:w="109"/>
        <w:gridCol w:w="109"/>
        <w:gridCol w:w="279"/>
        <w:gridCol w:w="1092"/>
        <w:gridCol w:w="144"/>
        <w:gridCol w:w="109"/>
        <w:gridCol w:w="109"/>
        <w:gridCol w:w="109"/>
        <w:gridCol w:w="211"/>
        <w:gridCol w:w="976"/>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Local Media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 segment items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loss</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 The significant expense categories and amounts align with the segment-level information that is regularly provided to the chief operating decision maker.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 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 Other segment items for each reportable segment includes marketing and advertising expenses, research costs, certain occupancy costs and other administrative costs.</w:t>
      </w:r>
    </w:p>
    <w:p>
      <w:pPr>
        <w:pStyle w:val="TextBody"/>
        <w:bidi w:val="0"/>
        <w:spacing w:before="10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disclosures are as follows:</w:t>
      </w:r>
    </w:p>
    <w:tbl>
      <w:tblPr>
        <w:tblW w:w="10205" w:type="dxa"/>
        <w:jc w:val="left"/>
        <w:tblInd w:w="0" w:type="dxa"/>
        <w:tblLayout w:type="fixed"/>
        <w:tblCellMar>
          <w:top w:w="28" w:type="dxa"/>
          <w:left w:w="28" w:type="dxa"/>
          <w:bottom w:w="28" w:type="dxa"/>
          <w:right w:w="28" w:type="dxa"/>
        </w:tblCellMar>
      </w:tblPr>
      <w:tblGrid>
        <w:gridCol w:w="1706"/>
        <w:gridCol w:w="1497"/>
        <w:gridCol w:w="1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for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 for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additions to property and equipment for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disaggregation of the principal activities from which we generate revenue is as follows:</w:t>
      </w:r>
    </w:p>
    <w:tbl>
      <w:tblPr>
        <w:tblW w:w="8381" w:type="dxa"/>
        <w:jc w:val="center"/>
        <w:tblInd w:w="0" w:type="dxa"/>
        <w:tblLayout w:type="fixed"/>
        <w:tblCellMar>
          <w:top w:w="28" w:type="dxa"/>
          <w:left w:w="28" w:type="dxa"/>
          <w:bottom w:w="28" w:type="dxa"/>
          <w:right w:w="28" w:type="dxa"/>
        </w:tblCellMar>
      </w:tblPr>
      <w:tblGrid>
        <w:gridCol w:w="775"/>
        <w:gridCol w:w="683"/>
        <w:gridCol w:w="686"/>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assets by segment were as follows :</w:t>
      </w:r>
    </w:p>
    <w:tbl>
      <w:tblPr>
        <w:tblW w:w="6432" w:type="dxa"/>
        <w:jc w:val="center"/>
        <w:tblInd w:w="0" w:type="dxa"/>
        <w:tblLayout w:type="fixed"/>
        <w:tblCellMar>
          <w:top w:w="28" w:type="dxa"/>
          <w:left w:w="28" w:type="dxa"/>
          <w:bottom w:w="28" w:type="dxa"/>
          <w:right w:w="28" w:type="dxa"/>
        </w:tblCellMar>
      </w:tblPr>
      <w:tblGrid>
        <w:gridCol w:w="1079"/>
        <w:gridCol w:w="951"/>
        <w:gridCol w:w="954"/>
        <w:gridCol w:w="109"/>
        <w:gridCol w:w="109"/>
        <w:gridCol w:w="109"/>
        <w:gridCol w:w="211"/>
        <w:gridCol w:w="976"/>
        <w:gridCol w:w="109"/>
        <w:gridCol w:w="109"/>
        <w:gridCol w:w="109"/>
        <w:gridCol w:w="109"/>
        <w:gridCol w:w="211"/>
        <w:gridCol w:w="976"/>
        <w:gridCol w:w="311"/>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w:t>
              <w:br/>
              <w:t>December 31, </w:t>
              <w:br/>
              <w:t>2025</w:t>
            </w:r>
          </w:p>
        </w:tc>
      </w:tr>
      <w:tr>
        <w:trPr/>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2,567,155 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by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4,865,028 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5,008,628 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Reflects assets of operating segments below the reportable quantitative thresholds. These operating segments include our Tablo business, the Scripps National Spelling Bee and operational aspects of the Scripps News and Scripps Sports business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Capital Stock </w:t>
      </w:r>
    </w:p>
    <w:p>
      <w:pPr>
        <w:pStyle w:val="TextBody"/>
        <w:bidi w:val="0"/>
        <w:spacing w:lineRule="auto" w:line="288" w:before="200" w:after="283"/>
        <w:jc w:val="left"/>
        <w:rPr/>
      </w:pPr>
      <w:r>
        <w:rPr>
          <w:rFonts w:ascii="Times New Roman;serif" w:hAnsi="Times New Roman;serif"/>
          <w:b/>
          <w:color w:val="000000"/>
          <w:sz w:val="20"/>
        </w:rPr>
        <w:t>Capital Stock —</w:t>
      </w:r>
      <w:r>
        <w:rPr>
          <w:color w:val="000000"/>
        </w:rPr>
        <w:t xml:space="preserve"> </w:t>
      </w:r>
      <w:r>
        <w:rPr>
          <w:rFonts w:ascii="Times New Roman;serif" w:hAnsi="Times New Roman;serif"/>
          <w:b w:val="false"/>
          <w:color w:val="000000"/>
          <w:sz w:val="20"/>
        </w:rPr>
        <w:t>We have two classes of common shares, Common Voting shares and Class A Common shares. The Class A Common shares are only entitled to vote on the election of the greater of three or one-third of the directors and other matters as required by Ohio law.</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The 9% per annum dividend rate on the preferred shares, which compounds quarterly, will be incurred at that rate for the remaining periods that the preferred shares are outstanding.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did not declare or provide payment for the preferred stock dividend in either quarter of 2026 or any of the 2025 quarters. At June 30, 2026, aggregated undeclared and unpaid cumulative dividends totaled $150 million and the redemption value of the preferred stock totaled $782 million.</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terms of the preferred shares, we are prohibited from paying dividends on and repurchasing our common shares until all preferred shares are redeemed.</w:t>
      </w:r>
    </w:p>
    <w:p>
      <w:pPr>
        <w:pStyle w:val="TextBody"/>
        <w:bidi w:val="0"/>
        <w:spacing w:lineRule="auto" w:line="288" w:before="200" w:after="283"/>
        <w:jc w:val="left"/>
        <w:rPr/>
      </w:pPr>
      <w:r>
        <w:rPr>
          <w:rFonts w:ascii="Times New Roman;serif" w:hAnsi="Times New Roman;serif"/>
          <w:b/>
          <w:color w:val="000000"/>
          <w:sz w:val="20"/>
        </w:rPr>
        <w:t>Class A Common Shares Stock Warrant —</w:t>
      </w:r>
      <w:r>
        <w:rPr>
          <w:color w:val="000000"/>
        </w:rPr>
        <w:t xml:space="preserve"> </w:t>
      </w:r>
      <w:r>
        <w:rPr>
          <w:rFonts w:ascii="Times New Roman;serif" w:hAnsi="Times New Roman;serif"/>
          <w:b w:val="false"/>
          <w:color w:val="000000"/>
          <w:sz w:val="20"/>
        </w:rPr>
        <w:t>In connection with the issuance of the preferred shares, Berkshire Hathaway, Inc. ("Berkshire Hathaway") also received a warrant to purchase up to 23.1 million Class A shares, at an exercise price of $13 per share. The warrant is exercisable at the holder's option at any time or from time to time, in whole or in part, until the first anniversary of the date on which no preferred shares remain outstanding.</w:t>
      </w:r>
    </w:p>
    <w:p>
      <w:pPr>
        <w:pStyle w:val="TextBody"/>
        <w:bidi w:val="0"/>
        <w:spacing w:lineRule="auto" w:line="288" w:before="200" w:after="283"/>
        <w:jc w:val="left"/>
        <w:rPr/>
      </w:pPr>
      <w:r>
        <w:rPr>
          <w:rFonts w:ascii="Times New Roman;serif" w:hAnsi="Times New Roman;serif"/>
          <w:b/>
          <w:color w:val="000000"/>
          <w:sz w:val="20"/>
        </w:rPr>
        <w:t>Shareholder Rights Plan —</w:t>
      </w:r>
      <w:r>
        <w:rPr>
          <w:color w:val="000000"/>
        </w:rPr>
        <w:t xml:space="preserve"> </w:t>
      </w:r>
      <w:r>
        <w:rPr>
          <w:rFonts w:ascii="Times New Roman;serif" w:hAnsi="Times New Roman;serif"/>
          <w:b w:val="false"/>
          <w:color w:val="000000"/>
          <w:sz w:val="20"/>
        </w:rPr>
        <w:t>In November 2025, our Board of Directors approved a limited-duration shareholder rights plan and declared a dividend of one right for each outstanding Class A Common share and Common Voting share of the Company to shareholders of record on December 8, 2025. Initially, the rights are not exercisable and will trade with the Class A Common shares and Common Voting shares, respectively. The rights plan was ratified by holders of our Common Voting Shares at our May 4, 2026 Annual Meeting of Shareholders, and expires on November 26, 2026.</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general, the rights become exercisable following a public announcement that a person acquires 10% or more of the outstanding Class A Common shares of stock. If the rights are exercised, each holder (except the acquiring person) will have the right to purchase, at the exercise price, additional Class A Common shares at a 50% discount to the then-current market price. In addition, if Scripps is acquired in a merger or other business combination after an unapproved party acquires more than 10% of the outstanding Class A Common shares, each holder of a right would then be entitled to purchase, at the then-current exercise price, shares of the acquiring company’s stock at a 50% discount. The plan also provides for exceptions and additional terms for other certain situations and circumstances. There is currently no impact to our Condensed Consolidated Financial Statements.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15. Accumulated Other Comprehensive Income (Loss)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("AOCI") by component, including items reclassified out of AOCI, were as follows: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691"/>
        <w:gridCol w:w="1457"/>
        <w:gridCol w:w="1464"/>
        <w:gridCol w:w="109"/>
        <w:gridCol w:w="109"/>
        <w:gridCol w:w="109"/>
        <w:gridCol w:w="109"/>
        <w:gridCol w:w="109"/>
        <w:gridCol w:w="464"/>
        <w:gridCol w:w="1746"/>
        <w:gridCol w:w="239"/>
        <w:gridCol w:w="109"/>
        <w:gridCol w:w="109"/>
        <w:gridCol w:w="109"/>
        <w:gridCol w:w="211"/>
        <w:gridCol w:w="466"/>
        <w:gridCol w:w="109"/>
        <w:gridCol w:w="109"/>
        <w:gridCol w:w="109"/>
        <w:gridCol w:w="109"/>
        <w:gridCol w:w="211"/>
        <w:gridCol w:w="791"/>
        <w:gridCol w:w="157"/>
      </w:tblGrid>
      <w:tr>
        <w:trPr/>
        <w:tc>
          <w:tcPr>
            <w:tcW w:w="169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AOCI, net of tax of $72</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(64,315)</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8"/>
        <w:gridCol w:w="1439"/>
        <w:gridCol w:w="1447"/>
        <w:gridCol w:w="109"/>
        <w:gridCol w:w="109"/>
        <w:gridCol w:w="109"/>
        <w:gridCol w:w="109"/>
        <w:gridCol w:w="109"/>
        <w:gridCol w:w="460"/>
        <w:gridCol w:w="1731"/>
        <w:gridCol w:w="237"/>
        <w:gridCol w:w="109"/>
        <w:gridCol w:w="109"/>
        <w:gridCol w:w="109"/>
        <w:gridCol w:w="211"/>
        <w:gridCol w:w="535"/>
        <w:gridCol w:w="109"/>
        <w:gridCol w:w="109"/>
        <w:gridCol w:w="109"/>
        <w:gridCol w:w="109"/>
        <w:gridCol w:w="211"/>
        <w:gridCol w:w="790"/>
        <w:gridCol w:w="158"/>
      </w:tblGrid>
      <w:tr>
        <w:trPr/>
        <w:tc>
          <w:tcPr>
            <w:tcW w:w="167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Amounts reclassified from AOCI, net of tax of $11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(74,907)</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tbl>
      <w:tblPr>
        <w:tblW w:w="10205" w:type="dxa"/>
        <w:jc w:val="left"/>
        <w:tblInd w:w="0" w:type="dxa"/>
        <w:tblLayout w:type="fixed"/>
        <w:tblCellMar>
          <w:top w:w="28" w:type="dxa"/>
          <w:left w:w="28" w:type="dxa"/>
          <w:bottom w:w="28" w:type="dxa"/>
          <w:right w:w="28" w:type="dxa"/>
        </w:tblCellMar>
      </w:tblPr>
      <w:tblGrid>
        <w:gridCol w:w="1691"/>
        <w:gridCol w:w="1457"/>
        <w:gridCol w:w="1463"/>
        <w:gridCol w:w="109"/>
        <w:gridCol w:w="109"/>
        <w:gridCol w:w="109"/>
        <w:gridCol w:w="109"/>
        <w:gridCol w:w="109"/>
        <w:gridCol w:w="464"/>
        <w:gridCol w:w="1747"/>
        <w:gridCol w:w="239"/>
        <w:gridCol w:w="109"/>
        <w:gridCol w:w="109"/>
        <w:gridCol w:w="109"/>
        <w:gridCol w:w="211"/>
        <w:gridCol w:w="466"/>
        <w:gridCol w:w="109"/>
        <w:gridCol w:w="109"/>
        <w:gridCol w:w="109"/>
        <w:gridCol w:w="109"/>
        <w:gridCol w:w="211"/>
        <w:gridCol w:w="791"/>
        <w:gridCol w:w="157"/>
      </w:tblGrid>
      <w:tr>
        <w:trPr/>
        <w:tc>
          <w:tcPr>
            <w:tcW w:w="169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AOCI, net of tax of $145</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4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(64,315)</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8"/>
        <w:gridCol w:w="1439"/>
        <w:gridCol w:w="1446"/>
        <w:gridCol w:w="109"/>
        <w:gridCol w:w="109"/>
        <w:gridCol w:w="109"/>
        <w:gridCol w:w="109"/>
        <w:gridCol w:w="109"/>
        <w:gridCol w:w="460"/>
        <w:gridCol w:w="1731"/>
        <w:gridCol w:w="237"/>
        <w:gridCol w:w="109"/>
        <w:gridCol w:w="109"/>
        <w:gridCol w:w="109"/>
        <w:gridCol w:w="211"/>
        <w:gridCol w:w="535"/>
        <w:gridCol w:w="109"/>
        <w:gridCol w:w="109"/>
        <w:gridCol w:w="109"/>
        <w:gridCol w:w="109"/>
        <w:gridCol w:w="211"/>
        <w:gridCol w:w="790"/>
        <w:gridCol w:w="159"/>
      </w:tblGrid>
      <w:tr>
        <w:trPr/>
        <w:tc>
          <w:tcPr>
            <w:tcW w:w="167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4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AOCI, net of tax of $23</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(74,907)</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Actuarial gain (loss) is included in defined benefit pension plan expense in the Condensed Consolidated Statements of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discussion and analysis of financial condition and results of operations is based upon the Condensed Consolidated Financial Statements and the Notes to Condensed Consolidated Financial Statements. You should read this discussion in conjunction with those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document contains forward-looking statements within the meaning of the safe harbor provisions of the U.S. Private Securities Litigation Reform Act of 1995. Forward-looking statements can be identified by words such as: "believe," "anticipate," "intend," "expect," "estimate," "could," "should," "outlook," "guidance,"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A detailed discussion of such risks and uncertainties is included in the section of this document titled "Risk Factors." The Company’s actual results and financial condition may differ materially from those indicated in the forward-looking statements. Therefore, you should not rely on any of these forward-looking statements. Any forward-looking statement made in this document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E.W. Scripps Company (“Scripps”) is a diverse media enterprise that serves audiences and businesses through a portfolio of more than 60 local television stations in 38 markets and national news and entertainment networks. Our local stations have programming agreements with ABC, NBC, CBS and FOX. The Scripps Networks reach nearly every American through national news outlet Scripps News and popular entertainment brands ION, Bounce, Grit, ION Mystery, ION Plus and Laff. All of our local stations and national entertainment networks reach consumers over the air, and we have continued to expand our television networks and local brands on free streaming platforms. We also serve as the longtime steward of one of the nation's largest, most successful and longest-running educational programs, the Scripps National Spelling Bee. Additionally, we provide a television viewing device called Tablo that allows households to watch and record dozens of free, over-the-air and streaming channels anywhere in their home without a subscription.</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closed on the sales of Court TV, our local broadcast station, WFTX, in Fort Myers, Florida, and our local broadcast station, WRTV, in Indianapolis, Indiana. Proceeds generated from these sale transactions totaled $127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our acquisition of ION Media in 2021, we simultaneously sold 23 ION television stations to INYO Broadcast Holdings ("INYO") to comply with ownership rules of the FCC. These divested stations became independent affiliates of ION pursuant to long-term affiliation agreements. In connection with this sale, we also received call options that granted us the right to acquire the assets of some or all of these 23 INYO television stations.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February 2026, we notified INYO of our exercise of all of the options. In addition to other customary closing conditions, any transaction would be subject to FCC consent and, in certain cases, waiver of FCC ownership rules. We also have the right to withdraw our exercise of any or all of the options at any time prior to closing without any further obligation other than reimbursing INYO for expenses. Each station is subject to a separate option, so the acquisition of individual station assets may occur at various dates or potentially not occur. In June 2026, we withdrew the option exercise for six of the INYO television stations to bring an INYO transaction under the national television ownership cap.</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aggregate purchase price for the exercise of options on the 17 INYO stations we have notified for exercise is approximately $47.0 million. However, the purchase price is based on formulas that will be contingent on the respective closing dates of any transactions.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announced an enterprise-wide transformation plan that is designed to improve operating performance and unlock new value and targets annualized enterprise EBITDA growth of $125 million to $150 million by 2028. We expect to deliver this improved EBITDA run-rate through cost savings and revenue growth initiatives that will leverage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including artificial intelligence and automation and increase revenue yield on our existing businesses. We currently anticipate annualized EBITDA improvement of about $100 million by the end of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4, 2026, we reached agreement to acquire WTVQ, the ABC affiliate in Lexington, Kentucky, for $15.8 million. During the first quarter of 2026, we provided a $5.0 million deposit to be applied against the purchase price at closing. While federal regulatory and other customary approvals were pending, we received revenue from and paid expenses related to WTVQ's operations through a local programming and marketing agreement. The transaction closed August 1,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23, 2026, we announced the launch of Scripps Sports Network ("SSN") streaming channel, which premiered on March 24, 2026. This free, ad supported streaming television ("FAST") channel will be a 24/7 destination for live games and events, exclusive original series, specials, documentaries and other popular sports programming.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31, 2026, our retransmission consent agreement with Comcast, representing approximately 25% of our traditional subscribers, expired. We reached agreement with Comcast on May 5, 2026, with service restored that day to the customers of this MVPD.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7, 2026, we signed a multi-year media rights agreement with the Nashville Predators ("Predators") beginning with the 2026-27 National Hockey League season. This new agreement allows us to produce and distribute all local preseason, regular season and first-round playoff Predators games that are not allocated exclusively to national broadcasts. Scripps Sports will also broadcast live 30-minute pre-game and post-game shows for every locally broadcast Predators game. In addition to the local television broadcasts, the Predators and Scripps Sports will be introducing a new, direct-to-consumer experience where fans can livestream games throughout the local broadcast territory.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16, 2026, we announced a multi-year broadcast partnership with the PBR, the global leader in bull riding entertainment, to bring Premier Women's Rodeo exclusively to Scripps' national television networks ION and Grit beginning in May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we entered into an amendment to our credit agreement that extended the July 7, 2027 maturity date of our revolving credit facility. Under the terms of the amendment, we have a revolving credit facility with commitments of up to $200 million, maturing on July 7, 2029, and a non-extended revolving credit facility with commitments of up to $8.0 million, maturing on July 7, 2027.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13, 2026, we announced a new local media television rights agreement with the Detroit Pistons ("Pistons") beginning with the 2026-27 NBA season. WMYD TV20 Detroit will become the official local broadcast home of the Pistons, producing and airing all locally available pre-season and regular season games. Viewers will be able to watch games for free via over-the-air television as well as through participating cable and satellite providers. This agreement marks the Pistons' return to a primarily local broadcast television home for the first time since 2005. As part of the partnership, the Pistons and Scripps Sports will produce comprehensive game day coverage, including pregame, in game and postgame programming, as well as a weekly, half hour Pistons show.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15, 2026, we completed the transaction with Gray Media, Inc. ("Gray") to swap television stations across five markets. We acquired Gray's KKTV (CBS) in Colorado Springs, Colorado; KKCO (NBC) and low power station KJCT-LP (ABC) in Grand Junction, Colorado; and KMVT (CBS) and low power station KSVT-LD (Fox) in Twin Falls, Idaho. Gray acquired WSYM (Fox) in Lansing, Michigan, and KATC (ABC) in Lafayette, Louisiana. The swap involved the even exchange of comparable businesses. As a result, neither company paid cash consideration to the other.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31, 2026, our retransmission consent agreement with DirecTV, representing approximately 15% of our traditional subscribers, expired. We reached agreement with DirecTV on July 10, 2026, with service restored that day to the customers of this MVPD.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14, 2026, we announced that Scripps Sports signed an exclusive U.S. domestic broadcast rights agreement to televise all 64 games of the upcoming Women's Volleyball World Cup 2027 tournament on ION and Scripps Sports platforms. The three-week tournament will take place across the United States and Canada in August and September 2027.</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Scripps Networks business has experienced lower than projected financial results reflecting the impact of continued pressure from a weak national advertising market, ratings challenges, including impacts from the Nielsen methodology changes, and broader macroeconomic uncertainty. These factors have negatively impacted expected future growth rates, profitability and the cash flows derived from the business, as well as, the expected period of time over which those cash flows will occur, and provided an indication that the fair value of our Scripps Networks reporting unit may be below its carrying value at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Following completion of a second quarter 2026 impairment test, we concluded that the fair value of our Scripps Networks reporting unit did not exceed its carrying value and we recorded a non-cash charge of $1.1 billion to reduce the carrying values of goodwill and other intangible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did not declare or provide payment for the preferred stock dividend in either quarter of 2026 or any of the 2025 quarters. The 9% per annum dividend rate on the preferred shares, which compounds quarterly, will be incurred at that rate for the remaining periods that the preferred shares are outstanding. At June 30, 2026, aggregated undeclared and unpaid cumulative dividends totaled $150 million and the redemption value of the preferred stock totaled $782 million. Under the terms of the preferred shares, we are prohibited from paying dividends on and repurchasing our common shares until all preferred shares are redeemed.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trends and underlying economic conditions affecting the operating performance and future prospects differ for each of our operating segments. Accordingly, you should read the following discussion of our consolidated results of operations in conjunction with the discussion of the operating performance of our operating segments that follows.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Consolidated results of operations were as follows:</w:t>
      </w:r>
    </w:p>
    <w:tbl>
      <w:tblPr>
        <w:tblW w:w="10205" w:type="dxa"/>
        <w:jc w:val="left"/>
        <w:tblInd w:w="0" w:type="dxa"/>
        <w:tblLayout w:type="fixed"/>
        <w:tblCellMar>
          <w:top w:w="28" w:type="dxa"/>
          <w:left w:w="28" w:type="dxa"/>
          <w:bottom w:w="28" w:type="dxa"/>
          <w:right w:w="28" w:type="dxa"/>
        </w:tblCellMar>
      </w:tblPr>
      <w:tblGrid>
        <w:gridCol w:w="815"/>
        <w:gridCol w:w="327"/>
        <w:gridCol w:w="329"/>
        <w:gridCol w:w="109"/>
        <w:gridCol w:w="109"/>
        <w:gridCol w:w="109"/>
        <w:gridCol w:w="211"/>
        <w:gridCol w:w="991"/>
        <w:gridCol w:w="109"/>
        <w:gridCol w:w="109"/>
        <w:gridCol w:w="109"/>
        <w:gridCol w:w="109"/>
        <w:gridCol w:w="210"/>
        <w:gridCol w:w="211"/>
        <w:gridCol w:w="408"/>
        <w:gridCol w:w="109"/>
        <w:gridCol w:w="109"/>
        <w:gridCol w:w="109"/>
        <w:gridCol w:w="211"/>
        <w:gridCol w:w="826"/>
        <w:gridCol w:w="109"/>
        <w:gridCol w:w="109"/>
        <w:gridCol w:w="109"/>
        <w:gridCol w:w="109"/>
        <w:gridCol w:w="211"/>
        <w:gridCol w:w="991"/>
        <w:gridCol w:w="109"/>
        <w:gridCol w:w="109"/>
        <w:gridCol w:w="109"/>
        <w:gridCol w:w="109"/>
        <w:gridCol w:w="210"/>
        <w:gridCol w:w="211"/>
        <w:gridCol w:w="408"/>
        <w:gridCol w:w="109"/>
        <w:gridCol w:w="109"/>
        <w:gridCol w:w="109"/>
        <w:gridCol w:w="211"/>
        <w:gridCol w:w="976"/>
        <w:gridCol w:w="159"/>
      </w:tblGrid>
      <w:tr>
        <w:trPr/>
        <w:tc>
          <w:tcPr>
            <w:tcW w:w="81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decreased $49.7 million or 9.2% in the second quarter of 2026 and $57.2 million or 5.4% in the first six months of 2026 when compared to prior periods. Core advertising revenue decreased $46.3 million and $63.3 million in the quarter-to-date and year-to-date periods, respectively. Distribution revenue decreased $31.5 million and $28.0 million in the quarter-to-date and year-to-date periods, respectively. These decreases were partially offset by an increase of $26.6 million and $33.4 million in political revenue during this election year in the quarter-to-date and year-to-date periods,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which is comprised of programming costs and costs associated with distributing our content, decreased $19.6 million or 6.3% in the second quarter of 2026 and $26.0 million or 4.1% in the first six months of 2026 when compared to prior periods. Employee compensation costs decreased $4.9 million and $7.9 million in the quarter-to-date and year-to-date periods, respectively, reflecting a year-over-year reduction in employee headcount. Syndicated programming decreased $6.9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million and $12.4 million in the quarter-to-date and year-to-date periods, respectively. Network programming decreased $11.4 million and $15.2 million in the quarter-to-date and year-to-date periods, respectively, mainly due to a decrease in network affiliation fees. These cost decreases were partially offset by an increase in sports rights fees of $4.4 million and $11.5 million in the quarter-to-date and year-to-date periods,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primarily comprised of sales, marketing and advertising expenses, research costs and costs related to corporate administrative functions. Selling, general and administrative expenses increased $3.7 million or 2.6% in the second quarter of 2026 and $12.3 million or 4.4% in the first six months of 2026 when compared to prior periods. Employee compensation costs increased $1.6 million in the second quarter of 2026 and $10.5 million in the first six months of 2026 when compared to prior periods, primarily attributed to higher medical claims and increased insurance premiums. Additionally, legal fees increased $1.8 million and $2.8 million in the quarter-to-date and year-to-date periods,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costs in the second quarter of 2026 and 2025 totaled $35.8 million and $0.6 million, respectively. Year-to-date restructuring costs totaled $36.5 million and $4.8 million in 2026 and 2025, respectively. Restructuring costs in 2026 included $12.1 million in asset losses following strategic programming assessments, severance charges of $4.5 million, operating lease exit costs of $3.5 million and contract exit costs of $2.7 million. Remaining 2026 restructuring costs consisted of $13.7 million in outside consulting fees associated with the enterprise-wide transformation plan. Restructuring costs in 2025 included severance charges of $2.6 million and operating lease exit costs of $2.1 million related to prior strategic reorganization efforts.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 decreased $2.1 million or 5.7% in the second quarter of 2026 and $5.3 million or 6.9% in the first six months of 2026 when compared to prior periods.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Following completion of a second quarter 2026 impairment test, we recorded a non-cash charge of $1.1 billion to reduce the carrying values of goodwill and other intangible assets associated with our Scripps Networks reporting unit.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we completed the sale of our West Palm Beach television station building for cash consideration of $40.0 million and recognized a pre-tax gain from disposition of $31.4 million.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$4.5 million in the second quarter of 2026 and increased $8.7 million in the first six months of 2026 when compared to prior periods. While average outstanding debt balances were lower in the first six months of 2026 compared to the same period in 2025, higher interest rates contributed to an increase in interest costs incurred on borrowings during the first six months of 2026 when compared to the prior period. The quarter-to-date decrease in interest expense was due to the series of previously announced refinancing transactions that were completed during the second quarter of 2025. As part of the prior year refinancing, we paid off the remaining balances for our term loans that were due to mature in May 2026 and January 2028. In connection with the retirement of these term loans, we wrote off $5.6 million of deferred financing costs to interest expense in the second quarter 2025. We also incurred a $3.0 million loss on the extinguishment of debt when we paid off the remaining balances for our term loans. Additionally, we incurred $38.1 million of non-capitalized transaction costs related to the prior year refinancing. These costs are reflected in the caption "Other financing transaction costs" for the six months ended June 30, 2025.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30, 2026, we made a $30.0 million principal pre-payment on the June 2028 term loan. With this pre-payment, we incurred a $0.9 million loss on extinguishment of debt.</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closed on the sales of Court TV, our local broadcast station, WFTX, in Fort Myers, Florida, and our local broadcast station, WRTV, in Indianapolis, Indiana. During the second quarter of 2026, we completed the transaction with Gray Media, Inc. to swap television stations across five markets and recognized a pre-tax gain of $9.3 million. We recognized $38.9 million of pre-tax gains from these business sales for the six months ended June 30,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was 4.9% and 5.2% for the six months ended June 30, 2026 and 2025,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($1.7 million benefit in 2026 and $2.1 million expense in 2025), state deferred rate changes ($0.2 million benefit in 2026 and $1.4 million expense in 2025) and state NOL valuation allowance changes. Additionally, in the second quarter of 2026, the income tax provision was impacted by a net discrete tax provision benefit of $23.9 million related to book impairment of tax deductible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Operating Performance —</w:t>
      </w:r>
      <w:r>
        <w:rPr>
          <w:color w:val="000000"/>
        </w:rPr>
        <w:t xml:space="preserve"> </w:t>
      </w:r>
      <w:r>
        <w:rPr>
          <w:rFonts w:ascii="Times New Roman;serif" w:hAnsi="Times New Roman;serif"/>
          <w:b w:val="false"/>
          <w:color w:val="000000"/>
          <w:sz w:val="20"/>
        </w:rPr>
        <w:t xml:space="preserve">As discussed in the Notes to Condensed Consolidated Financial Statements, our chief operating decision maker evaluates operating performance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 </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our operating segments, items excluded from segment profit generally result from decisions made in prior periods or from decisions made by corporate executives rather than the managers of the segments. Depreciation and amortization charges are the result of decisions made in prior periods regarding the allocation of resources and are, therefore, excluded from the measure. Generally, our corporate executives make financing, tax structure and divestiture decisions. Excluding these items from measurement of segment performance enables us to evaluate operating performance based upon current economic conditions and decisions made by the managers of those segments in the current period.</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Information regarding our operating performance and a reconciliation of such information to the condensed consolidated financial statements is as follows:</w:t>
      </w:r>
    </w:p>
    <w:tbl>
      <w:tblPr>
        <w:tblW w:w="10402" w:type="dxa"/>
        <w:jc w:val="left"/>
        <w:tblInd w:w="0" w:type="dxa"/>
        <w:tblLayout w:type="fixed"/>
        <w:tblCellMar>
          <w:top w:w="28" w:type="dxa"/>
          <w:left w:w="28" w:type="dxa"/>
          <w:bottom w:w="28" w:type="dxa"/>
          <w:right w:w="28" w:type="dxa"/>
        </w:tblCellMar>
      </w:tblPr>
      <w:tblGrid>
        <w:gridCol w:w="792"/>
        <w:gridCol w:w="301"/>
        <w:gridCol w:w="303"/>
        <w:gridCol w:w="109"/>
        <w:gridCol w:w="109"/>
        <w:gridCol w:w="109"/>
        <w:gridCol w:w="211"/>
        <w:gridCol w:w="991"/>
        <w:gridCol w:w="109"/>
        <w:gridCol w:w="109"/>
        <w:gridCol w:w="109"/>
        <w:gridCol w:w="109"/>
        <w:gridCol w:w="262"/>
        <w:gridCol w:w="264"/>
        <w:gridCol w:w="408"/>
        <w:gridCol w:w="109"/>
        <w:gridCol w:w="109"/>
        <w:gridCol w:w="109"/>
        <w:gridCol w:w="211"/>
        <w:gridCol w:w="826"/>
        <w:gridCol w:w="109"/>
        <w:gridCol w:w="109"/>
        <w:gridCol w:w="109"/>
        <w:gridCol w:w="109"/>
        <w:gridCol w:w="211"/>
        <w:gridCol w:w="991"/>
        <w:gridCol w:w="109"/>
        <w:gridCol w:w="109"/>
        <w:gridCol w:w="109"/>
        <w:gridCol w:w="109"/>
        <w:gridCol w:w="262"/>
        <w:gridCol w:w="264"/>
        <w:gridCol w:w="408"/>
        <w:gridCol w:w="109"/>
        <w:gridCol w:w="109"/>
        <w:gridCol w:w="109"/>
        <w:gridCol w:w="211"/>
        <w:gridCol w:w="976"/>
        <w:gridCol w:w="221"/>
      </w:tblGrid>
      <w:tr>
        <w:trPr/>
        <w:tc>
          <w:tcPr>
            <w:tcW w:w="7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Intersegment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1,064,473 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Local Media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Scripps Networks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Shared services and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net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(102,403)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(41,569)</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Local Media — </w:t>
      </w:r>
      <w:r>
        <w:rPr>
          <w:rFonts w:ascii="Times New Roman;serif" w:hAnsi="Times New Roman;serif"/>
          <w:b w:val="false"/>
          <w:color w:val="000000"/>
          <w:sz w:val="20"/>
        </w:rPr>
        <w:t>Our Local Media segment includes more than 60 local television stations and their related digital operations. It is comprised of 18 ABC affiliates, 12 NBC affiliates, 11 CBS affiliates and three FOX affiliates. We also have 13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r>
        <w:rPr>
          <w:color w:val="000000"/>
        </w:rPr>
        <w:t xml:space="preserve"> </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National television networks offer affiliates a variety of programming and sell the majority of advertising within those programs. In addition to network programs, we broadcast internally produced local and national programs, syndicated programs, sporting events and other programs of interest in each station's market. News is the primary focus of our locally produced programming.</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performance of our Local Media group is most affected by local and national economic conditions, particularly conditions within the automotive and services categories, and by the volume of advertising purchased by campaigns for elective office and political issues. The demand for political advertising is significantly higher in the third and fourth quarters of even-numbered years.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results for our Local Media segment were as follows:</w:t>
      </w:r>
    </w:p>
    <w:tbl>
      <w:tblPr>
        <w:tblW w:w="10205" w:type="dxa"/>
        <w:jc w:val="left"/>
        <w:tblInd w:w="0" w:type="dxa"/>
        <w:tblLayout w:type="fixed"/>
        <w:tblCellMar>
          <w:top w:w="28" w:type="dxa"/>
          <w:left w:w="28" w:type="dxa"/>
          <w:bottom w:w="28" w:type="dxa"/>
          <w:right w:w="28" w:type="dxa"/>
        </w:tblCellMar>
      </w:tblPr>
      <w:tblGrid>
        <w:gridCol w:w="781"/>
        <w:gridCol w:w="481"/>
        <w:gridCol w:w="483"/>
        <w:gridCol w:w="109"/>
        <w:gridCol w:w="109"/>
        <w:gridCol w:w="109"/>
        <w:gridCol w:w="211"/>
        <w:gridCol w:w="826"/>
        <w:gridCol w:w="109"/>
        <w:gridCol w:w="109"/>
        <w:gridCol w:w="109"/>
        <w:gridCol w:w="109"/>
        <w:gridCol w:w="269"/>
        <w:gridCol w:w="271"/>
        <w:gridCol w:w="408"/>
        <w:gridCol w:w="109"/>
        <w:gridCol w:w="109"/>
        <w:gridCol w:w="109"/>
        <w:gridCol w:w="211"/>
        <w:gridCol w:w="826"/>
        <w:gridCol w:w="109"/>
        <w:gridCol w:w="109"/>
        <w:gridCol w:w="109"/>
        <w:gridCol w:w="109"/>
        <w:gridCol w:w="211"/>
        <w:gridCol w:w="826"/>
        <w:gridCol w:w="109"/>
        <w:gridCol w:w="109"/>
        <w:gridCol w:w="109"/>
        <w:gridCol w:w="109"/>
        <w:gridCol w:w="254"/>
        <w:gridCol w:w="257"/>
        <w:gridCol w:w="408"/>
        <w:gridCol w:w="109"/>
        <w:gridCol w:w="109"/>
        <w:gridCol w:w="109"/>
        <w:gridCol w:w="211"/>
        <w:gridCol w:w="826"/>
        <w:gridCol w:w="156"/>
      </w:tblGrid>
      <w:tr>
        <w:trPr/>
        <w:tc>
          <w:tcPr>
            <w:tcW w:w="7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Local Media revenues decreased $18.2 million or 5.4% in the second quarter of 2026 and $2.0 million or 0.3% in the first six months of 2026 when compared to the prior periods. During this election year, political revenues increased $25.5 million in the second quarter of 2026 and $31.2 million in the first six months of 2026 when compared to the prior periods. Core advertising revenue decreased $11.9 million or 8.7% in the second quarter of 2026 and $4.2 million or 1.6% in the first six months of 2026 when compared to the prior periods. Core advertising revenue in the second quarter of 2025 included $6.8 million of revenue from WRTV and WFTX that were sold in the first quarter of 2026. Distribution revenues decreased $32.1 million or 17% in the second quarter of 2026 and $29.4 million or 7.7% in the first six months of 2026 when compared to the prior periods. The service blackout periods during the contract negotiations with Comcast and DirecTV had a $26.7 million negative impact on second quarter 2026 distribution revenues. Additionally, distribution revenues in the second quarter of 2025 included $11.3 million of revenue from WRTV and WFTX that were sold in the first quarter of 2026. Year-over-year distribution revenues were unfavorably impacted by mid-single-digit subscriber declines. These subscriber declines were offset by rate increases, which favorably impacted distribution revenues by 2.5% and 4.8% in the quarter-to-date and year-to-date periods, respectively. In 2025, we completed renewal negotiations on distribution agreements covering approximately 25% of our subscriber households. These renewal rates were effective as of March 31, 2025.</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$3.5 million or 3.3% in the second quarter of 2026 and $4.3 million or 2.1% in the first six months of 2026 when compared to prior periods, reflecting a year-over-year reduction in employee headcount.</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Programming expense decreased $12.8 million or 9.9% in the second quarter of 2026 and $9.9 million or 3.7% in the first six months of 2026 when compared to prior periods. Network affiliation fees decreased $10.5 million and $13.3 million in quarter-to-date and year-to-date periods, respectively. Additionally, sports and other rights fees decreased $1.8 million in the quarter-to-date period and increased $4.1 million in year-to-date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expenses decreased $1.9 million or 4.2% in the second quarter of 2026 and increased $0.5 million or 0.5% in the first six months of 2026 when compared to prior periods.</w:t>
      </w:r>
    </w:p>
    <w:p>
      <w:pPr>
        <w:pStyle w:val="TextBody"/>
        <w:bidi w:val="0"/>
        <w:spacing w:before="0" w:after="0"/>
        <w:ind w:left="0" w:right="0" w:firstLine="450"/>
        <w:jc w:val="left"/>
        <w:rPr/>
      </w:pPr>
      <w:r>
        <w:rPr/>
      </w:r>
    </w:p>
    <w:p>
      <w:pPr>
        <w:pStyle w:val="TextBody"/>
        <w:bidi w:val="0"/>
        <w:spacing w:lineRule="auto" w:line="288" w:before="0" w:after="0"/>
        <w:jc w:val="left"/>
        <w:rPr/>
      </w:pPr>
      <w:r>
        <w:rPr>
          <w:rFonts w:ascii="Times New Roman;serif" w:hAnsi="Times New Roman;serif"/>
          <w:b/>
          <w:color w:val="000000"/>
          <w:sz w:val="20"/>
        </w:rPr>
        <w:t xml:space="preserve">Scripps Networks </w:t>
      </w:r>
      <w:r>
        <w:rPr>
          <w:color w:val="000000"/>
        </w:rPr>
        <w:t xml:space="preserve">— </w:t>
      </w:r>
      <w:r>
        <w:rPr>
          <w:rFonts w:ascii="Times New Roman;serif" w:hAnsi="Times New Roman;serif"/>
          <w:b w:val="false"/>
          <w:color w:val="000000"/>
          <w:sz w:val="20"/>
        </w:rPr>
        <w:t>Our Scripps Networks segment includes national news outlet Scripps News and popular entertainment brands ION, Bounce, Grit, ION Mystery, ION Plus and Laff. The networks reach nearly every U.S. television home through free over-the-air broadcast, cable/satellite, connected TV and/or digital distribution. Our Scripps Networks segment earns revenue primarily through the sale of advertising. The advertising received by our national networks can be subject to seasonal and cyclical variations and is most impacted by national economic conditions.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results for our Scripps Networks segment were as follows:</w:t>
      </w:r>
    </w:p>
    <w:tbl>
      <w:tblPr>
        <w:tblW w:w="10205" w:type="dxa"/>
        <w:jc w:val="left"/>
        <w:tblInd w:w="0" w:type="dxa"/>
        <w:tblLayout w:type="fixed"/>
        <w:tblCellMar>
          <w:top w:w="28" w:type="dxa"/>
          <w:left w:w="28" w:type="dxa"/>
          <w:bottom w:w="28" w:type="dxa"/>
          <w:right w:w="28" w:type="dxa"/>
        </w:tblCellMar>
      </w:tblPr>
      <w:tblGrid>
        <w:gridCol w:w="773"/>
        <w:gridCol w:w="470"/>
        <w:gridCol w:w="473"/>
        <w:gridCol w:w="109"/>
        <w:gridCol w:w="109"/>
        <w:gridCol w:w="109"/>
        <w:gridCol w:w="211"/>
        <w:gridCol w:w="826"/>
        <w:gridCol w:w="109"/>
        <w:gridCol w:w="109"/>
        <w:gridCol w:w="109"/>
        <w:gridCol w:w="109"/>
        <w:gridCol w:w="270"/>
        <w:gridCol w:w="270"/>
        <w:gridCol w:w="408"/>
        <w:gridCol w:w="109"/>
        <w:gridCol w:w="109"/>
        <w:gridCol w:w="109"/>
        <w:gridCol w:w="211"/>
        <w:gridCol w:w="826"/>
        <w:gridCol w:w="109"/>
        <w:gridCol w:w="109"/>
        <w:gridCol w:w="109"/>
        <w:gridCol w:w="109"/>
        <w:gridCol w:w="211"/>
        <w:gridCol w:w="826"/>
        <w:gridCol w:w="109"/>
        <w:gridCol w:w="109"/>
        <w:gridCol w:w="109"/>
        <w:gridCol w:w="109"/>
        <w:gridCol w:w="270"/>
        <w:gridCol w:w="270"/>
        <w:gridCol w:w="408"/>
        <w:gridCol w:w="109"/>
        <w:gridCol w:w="109"/>
        <w:gridCol w:w="109"/>
        <w:gridCol w:w="211"/>
        <w:gridCol w:w="826"/>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w:t>
              <w:br/>
              <w:t>June 30,</w:t>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Scripps Networks revenues, which are primarily comprised of advertising revenues, decreased $33.9 million or 16% in the second quarter of 2026 and $55.8 million or 14% in the first six months of 2026 when compared to prior periods. The amount of advertising revenue we earn is a function of the pricing negotiated with advertisers, the number of advertising spots sold and the audience impressions delivered. Scripps Networks revenues had a net decrease of $8.5 million </w:t>
      </w:r>
      <w:r>
        <w:rPr>
          <w:rFonts w:ascii="Aptos;sans-serif" w:hAnsi="Aptos;sans-serif"/>
          <w:b w:val="false"/>
          <w:color w:val="000000"/>
          <w:sz w:val="22"/>
        </w:rPr>
        <w:t>i</w:t>
      </w:r>
      <w:r>
        <w:rPr>
          <w:rFonts w:ascii="Times New Roman;serif" w:hAnsi="Times New Roman;serif"/>
          <w:b w:val="false"/>
          <w:color w:val="000000"/>
          <w:sz w:val="20"/>
        </w:rPr>
        <w:t xml:space="preserve">n the second quarter of 2026 and $12.9 million in the first six months of 2026 due to the first quarter sale of Court TV. Lower ratings in our key monetized demographics, magnified by a Nielsen audience measurement methodology change late in the first quarter of 2026, unfavorably impacted Scripps Networks revenues by 9.2% and 11% in the quarter-to-date and year-to-date periods, respectively. Lower pricing for direct response market advertising unfavorably impacted Scripps Networks revenues by 7.9% and 6.8% in the quarter-to-date and year-to-date periods, respectively. These unfavorable impacts were partially offset by higher connected TV revenue, which increased revenues by 3.8% and 3.5% in the quarter-to-date and year-to-date periods, respectively.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$2.2 million or 10% in the second quarter of 2026 compared to the prior period, primarily due to the first quarter sale of Court TV. The year-over-year decrease in employee compensation and benefits of $0.5 million or 1.2% was also impacted by higher medical claims and increased insurance premiums during the first quarter 2026.</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Programming expense decreased $1.6 million or 1.8% in the second quarter of 2026 and $7.0 million or 4.2% for the first six months of 2026 when compared to prior periods. Syndicated programming costs decreased $6.5 million and $11.8 million in the quarter-to-date and year-to-date periods, respectively. Carriage affiliation fees decreased $1.8 million and $3.0 million in the quarter-to-date and year-to-date periods, respectively. Other programming costs increased $6.1 million and $7.2 million in the quarter-to-date and year-to-date periods, respectively, driven by an increase in costs attributed to our sports rights agreements.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expenses increased $0.5 million or 1.2% in the second quarter of 2026 and remained flat for the first six months of 2026 when compared to prior periods.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have a revolving credit facility with commitments of up to $200 million, maturing on July 7, 2029, and a non-extended revolving credit facility with commitments of up to $8.0 million, maturing on July 7, 2027. Additionally, we have an accounts receivable securitization facility, scheduled to terminate on April 10, 2028, with aggregate commitments of up to $450 million. The maximum availability allowed for the securitization facility is limited by our eligible accounts receivable balances.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 of liquidity is our available cash and borrowing capacity under our revolving credit facilities and securitization facility. Our primary source of cash is generated from our ongoing operations and can be affected by various risk and uncertainties. As of June 30, 2026, we had $13.0 million of unrestricted cash on hand and $221 million of additional borrowing capacity under our revolving credit facilities and securitization facility. As of June 30, 2026, we had no borrowings outstanding under our credit facilities and we had $314 million outstanding under the securitization facility, with a maximum availability allowed of $336 million. Based on our current business plan, we believe our cash flow from operations will provide sufficient liquidity to meet the Company’s operating needs for the next 12 months.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0"/>
        <w:jc w:val="left"/>
        <w:rPr/>
      </w:pPr>
      <w:r>
        <w:rPr/>
      </w:r>
    </w:p>
    <w:tbl>
      <w:tblPr>
        <w:tblW w:w="8091" w:type="dxa"/>
        <w:jc w:val="left"/>
        <w:tblInd w:w="0" w:type="dxa"/>
        <w:tblLayout w:type="fixed"/>
        <w:tblCellMar>
          <w:top w:w="28" w:type="dxa"/>
          <w:left w:w="28" w:type="dxa"/>
          <w:bottom w:w="28" w:type="dxa"/>
          <w:right w:w="28" w:type="dxa"/>
        </w:tblCellMar>
      </w:tblPr>
      <w:tblGrid>
        <w:gridCol w:w="1893"/>
        <w:gridCol w:w="1667"/>
        <w:gridCol w:w="1675"/>
        <w:gridCol w:w="109"/>
        <w:gridCol w:w="109"/>
        <w:gridCol w:w="109"/>
        <w:gridCol w:w="211"/>
        <w:gridCol w:w="721"/>
        <w:gridCol w:w="109"/>
        <w:gridCol w:w="109"/>
        <w:gridCol w:w="109"/>
        <w:gridCol w:w="109"/>
        <w:gridCol w:w="211"/>
        <w:gridCol w:w="796"/>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increased $31.0 million in 2026 compared to 2025. The cash provided by operating activities was impacted by a year-over-year decrease in segment profit of $43.5 million. Changes in the accounts receivable, accounts payable and accrued employee compensation and benefits provided a year-over-year cash benefit to operating activities of $78.2 million. Changes in accounts receivable reflect the timing of revenue recognition from prior periods and the collection of amounts in subsequent periods. Items such as service blackout periods with affiliates impact the timing of period-over-period cash generated from accounts receivable. Cash paid on accounts payable balances and for employee compensation and benefits decreased year-over-year primarily as a result of the cost-savings initiatives implemented with the enterprise-wide transformation plan. Cash provided by operating activities was also impacted by a year-over-year increase in cash tax refunds of $17.5 million and a year-over-year increase in cash interest paid of $19.5 million.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 was $102 million in 2026 compared to $16.5 million in 2025. Investing activities in 2026 include $127 million in net cash proceeds received from the sales of Court TV, our local broadcast station, WFTX, in Fort Myers, Florida, and our local broadcast station, WRTV, in Indianapolis, Indiana, which all closed in the first quarter of 2026. Investing activities in 2026 also reflect $19.7 million in capital expenditures and $5.0 million for a business acquisition deposit related to our agreement to purchase WTVQ, the ABC affiliate in Lexington, Kentucky. Investing activities in 2025 reflect $40.0 million of cash proceeds from the sale of our West Palm television station building, $6.9 million in cash used for investment purchases and $17.2 million in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was $123 million in 2026 compared to cash provided by financing activities of $5.1 million in 2025. As of June 30, 2026, we had no borrowings outstanding under our revolving credit facilities. During the first six months of 2026, we had net payments of $47.6 million under our accounts receivable securitization facility, made principal pre-payments of $60.6 million on our term loans and paid $6.4 million in deferred financing costs. During the first six months of 2025, we had net debt proceeds of $70.0 million under our revolving credit facilities, $885 million of proceeds from the issuance of new long-term debt under the April 10, 2025 credit agreement and net proceeds of $366 million under our accounts receivable securitization facility. During the first six months of 2025, we made payments on long-term debt of $1.3 billion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 down our May 2026 and January 2028 term loans. In connection with the refinancing transactions in the second quarter of 2025, we paid $43.2 million in deferred financing costs and $2.8 million in debt extinguishment costs.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terms of our amended credit agreement, we have a revolving credit facility with commitments of up to $200 million, maturing on July 7, 2029, and a non-extended revolving credit facility with commitments of up to $8.0 million, maturing on July 7, 2027. As of June 30, 2026, we had no outstanding borrowings under our credit facilities. In connection with the credit agreement, we have an outstanding balance of $558 million on our term loans as of June 30, 2026. We do not have any annual required principal payments on these term loans for the next 12 months.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10, 2025, we entered into a three-year accounts receivable securitization facility, scheduled to terminate April 10, 2028, with aggregate commitments of up to $450 million. The maximum availability allowed is limited by our eligible accounts receivable balances, as defined under the terms of the securitization facility. As of June 30, 2026, we had $314 million outstanding under the securitization facility, with a maximum availability allowed of $336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have $1.7 billion of senior notes outstanding. Senior secured notes have a total outstanding principal balance of $1.3 billion. The senior secured notes that mature on January 15, 2029 bear interest at a rate of 3.875% per annum and the senior secured notes that mature on August 15, 2030 bear interest at a rate of 9.875% per annum. Senior unsecured notes totaling $392 million mature on January 15, 2031 and bear interest at a rate of 5.375% per annum.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notes do not have maintenance covenants. The credit agreement contains covenants to comply with a maximum first lien net leverage ratio. For the revolving credit facilities, we must comply with a maximum first lien net leverage ratio of 3.50 to 1.0 through September 30, 2026, at which point it steps down to 3.25 times for the fiscal quarter ended December 31, 2026, and thereafter. As of June 30, 2026, we were in compliance with our financial covenants.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We did not declare or provide payment for the preferred stock dividend in either quarter of 2026 or any of the 2025 quarters. At June 30, 2026, aggregated undeclared and unpaid cumulative dividends totaled $150 million and the redemption value of the preferred stock totaled $782 million. In connection with the issuance of the preferred shares, Berkshire Hathaway also received a warrant to purchase up to 23.1 million Class A shares, at an exercise price of $13 per share.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terms of the preferred shares, we are prohibited from paying dividends on and repurchasing our common shares until all preferred shares are redeemed.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remainder of 2026, we anticipate contributing an additional $0.7 million to fund the SERPs' benefit payments and we have required pension plan contributions totaling $4.7 million.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 and Contractual Obligations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off-balance sheet arrangements disclosed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accounting principles generally accepted in the United States of America (“GAAP”) requires us to make a variety of decisions that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actuarial studies and other assumptions. We are committed to incorporating accounting principles, assumptions and estimates that promote the representational faithfulness, verifiability, neutrality and transparency of the accounting information included in the financial statements.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Note 1 to the Consolidated Financial Statements included in our 2025 Annual Report on Form 10-K describes the significant accounting policies we have selected for use in the preparation of our financial statements and related disclosures. An accounting policy is deemed to be critical if it requires an accounting estimate to be made based on assumptions about matters that are highly uncertain at the time the estimate is made and if different estimates that reasonably could have been used or changes in estimates that are likely to occur could materially change the financial statements. We believe the accounting for goodwill and indefinite-lived intangible assets and pension plans to be our most critical accounting policies and estimates. A detailed description of these accounting policies is included in the Critical Accounting Policies section of Management's Discussion and Analysis of Financial Condition and Results of Operations included in our 2025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Guidance</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Refer to Note 2. Recently Adopted and Issued Accounting Standards of the Notes to Condensed Consolidated Financial Statements (Part I, Item 1 of this Form 10-Q)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Earnings and cash flow can be affected by, among other things, economic conditions and interest rate changes. We are also exposed to changes in the market value of our investments.</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objectives in managing interest rate risk are to limit the impact of interest rate changes on our earnings and cash flows and to reduce overall borrowing costs. We may use derivative financial instruments to modify exposure to risks from fluctuations in interest rates. In accordance with our policy, we do not use derivative instruments unless there is an underlying exposure, and we do not hold or enter into financial instruments for speculative trading purposes.</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interest rate risk associated with our credit agreement, as borrowings bear interest at the secured overnight financing rate ("SOFR") plus respective fixed margin spreads or spreads determined relative to our Company’s leverage ratio. Accordingly, the interest we pay on our borrowings is dependent on interest rate conditions and the timing of our financing needs. A 100 basis point increase in SOFR would increase annual interest expense on our variable rate borrowings by approximately $8.7 million.</w:t>
      </w:r>
    </w:p>
    <w:p>
      <w:pPr>
        <w:pStyle w:val="TextBody"/>
        <w:bidi w:val="0"/>
        <w:spacing w:lineRule="auto" w:line="288" w:before="2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about market-risk-sensitive financial instruments:</w:t>
      </w:r>
    </w:p>
    <w:tbl>
      <w:tblPr>
        <w:tblW w:w="10205" w:type="dxa"/>
        <w:jc w:val="left"/>
        <w:tblInd w:w="0" w:type="dxa"/>
        <w:tblLayout w:type="fixed"/>
        <w:tblCellMar>
          <w:top w:w="28" w:type="dxa"/>
          <w:left w:w="28" w:type="dxa"/>
          <w:bottom w:w="28" w:type="dxa"/>
          <w:right w:w="28" w:type="dxa"/>
        </w:tblCellMar>
      </w:tblPr>
      <w:tblGrid>
        <w:gridCol w:w="1065"/>
        <w:gridCol w:w="738"/>
        <w:gridCol w:w="741"/>
        <w:gridCol w:w="127"/>
        <w:gridCol w:w="127"/>
        <w:gridCol w:w="127"/>
        <w:gridCol w:w="247"/>
        <w:gridCol w:w="1143"/>
        <w:gridCol w:w="127"/>
        <w:gridCol w:w="127"/>
        <w:gridCol w:w="127"/>
        <w:gridCol w:w="127"/>
        <w:gridCol w:w="247"/>
        <w:gridCol w:w="1143"/>
        <w:gridCol w:w="127"/>
        <w:gridCol w:w="127"/>
        <w:gridCol w:w="127"/>
        <w:gridCol w:w="127"/>
        <w:gridCol w:w="247"/>
        <w:gridCol w:w="1143"/>
        <w:gridCol w:w="127"/>
        <w:gridCol w:w="127"/>
        <w:gridCol w:w="127"/>
        <w:gridCol w:w="127"/>
        <w:gridCol w:w="247"/>
        <w:gridCol w:w="1143"/>
        <w:gridCol w:w="196"/>
      </w:tblGrid>
      <w:tr>
        <w:trPr/>
        <w:tc>
          <w:tcPr>
            <w:tcW w:w="106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w:t>
              <w:br/>
              <w:t>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w:t>
              <w:br/>
              <w:t>Basis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2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subject to interest rate risk:</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in January 2029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in August 2030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in January 2031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Term loan, due in June 2028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November 2029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2,537,057 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2,487,833 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subject to market value risk:</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held at cost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 Includes securities that do not trade in public markets, thus the securities do not have readily determinable fair values. We estimate the fair values of these investments approximate their carrying values at June 30, 2026 and December 31,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Scripps management is responsible for establishing and maintaining adequate internal controls designed to provide reasonable assurance regarding the reliability of financial reporting and the preparation of financial statements for external purposes in accordance with accounting principles generally accepted in the United States of America (“GAAP”). The Company’s internal control over financial reporting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 reasonable assurance that transactions are recorded as necessary to permit preparation of financial statements in accordance with GAAP, and that receipts and expenditures of the Company are being made only in accordance with authorizations of management and the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All internal control systems, no matter how well designed, have inherent limitations, including the possibility of human error, collusion and the improper overriding of controls by management. Accordingly, even effective internal control can only provide reasonable but not absolute assurance with respect to financial statement preparation. Further, because of changes in conditions, the effectiveness of internal control may vary over time.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effectiveness of the design and operation of our disclosure controls and procedures (as defined in Rule 13a-15(e) under the Securities Exchange Act of 1934) was evaluated as of the date of the financial statements. This evaluation was carried out under the supervision of and with the participation of management, including the Chief Executive Officer and the Chief Financial Officer. Based upon that evaluation, the Chief Executive Officer and the Chief Financial Officer concluded that the design and operation of these disclosure controls and procedures are effective.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to the Company's internal controls over financial reporting (as defined in Exchange Act Rule 13a-15(f)) during the period covered by this report that have materially affected, or are reasonably likely to materially affect, the Company's internal control over financial reporting.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31.A</w:t>
      </w:r>
      <w:r>
        <w:rPr>
          <w:color w:val="000000"/>
        </w:rPr>
        <w:t xml:space="preserve"> </w:t>
      </w:r>
    </w:p>
    <w:p>
      <w:pPr>
        <w:pStyle w:val="TextBody"/>
        <w:bidi w:val="0"/>
        <w:spacing w:lineRule="auto" w:line="288" w:before="0" w:after="0"/>
        <w:jc w:val="right"/>
        <w:rPr/>
      </w:pPr>
      <w:r>
        <w:rPr>
          <w:rFonts w:ascii="Times New Roman;serif" w:hAnsi="Times New Roman;serif"/>
          <w:b/>
          <w:color w:val="000000"/>
          <w:sz w:val="20"/>
        </w:rPr>
        <w:t>Section 302 Certifications</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Adam P. Symson,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The E.W. Scripps Company;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Adam P. Symson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Adam P. Symson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extBody"/>
        <w:bidi w:val="0"/>
        <w:spacing w:lineRule="auto" w:line="288" w:before="100" w:after="100"/>
        <w:jc w:val="center"/>
        <w:rPr>
          <w:color w:val="000000"/>
        </w:rPr>
      </w:pPr>
      <w:r>
        <w:rPr>
          <w:color w:val="000000"/>
        </w:rPr>
        <w:t xml:space="preserve">  </w:t>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0" w:after="0"/>
        <w:jc w:val="right"/>
        <w:rPr/>
      </w:pPr>
      <w:r>
        <w:rPr>
          <w:rFonts w:ascii="Times New Roman;serif" w:hAnsi="Times New Roman;serif"/>
          <w:b/>
          <w:color w:val="000000"/>
          <w:sz w:val="20"/>
        </w:rPr>
        <w:t>Section 302 Certifications</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Jason Combs,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The E.W. Scripps Company;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that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Jason Combs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Jason Combs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100"/>
        <w:jc w:val="center"/>
        <w:rPr>
          <w:color w:val="000000"/>
        </w:rPr>
      </w:pPr>
      <w:r>
        <w:rPr>
          <w:color w:val="000000"/>
        </w:rPr>
        <w:t xml:space="preserve">  </w:t>
      </w:r>
    </w:p>
    <w:p>
      <w:pPr>
        <w:pStyle w:val="TextBody"/>
        <w:bidi w:val="0"/>
        <w:spacing w:lineRule="auto" w:line="288" w:before="100" w:after="100"/>
        <w:jc w:val="center"/>
        <w:rPr>
          <w:color w:val="000000"/>
        </w:rPr>
      </w:pPr>
      <w:r>
        <w:rPr>
          <w:color w:val="000000"/>
        </w:rPr>
        <w:t xml:space="preserve">  </w:t>
      </w:r>
    </w:p>
    <w:p>
      <w:pPr>
        <w:pStyle w:val="TextBody"/>
        <w:bidi w:val="0"/>
        <w:spacing w:before="0" w:after="2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32.A</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Section 906 Certifications</w:t>
      </w:r>
    </w:p>
    <w:p>
      <w:pPr>
        <w:pStyle w:val="TextBody"/>
        <w:bidi w:val="0"/>
        <w:spacing w:lineRule="auto" w:line="288" w:before="0" w:after="0"/>
        <w:jc w:val="center"/>
        <w:rPr/>
      </w:pPr>
      <w:r>
        <w:rPr>
          <w:rFonts w:ascii="Times New Roman;serif" w:hAnsi="Times New Roman;serif"/>
          <w:b/>
          <w:color w:val="000000"/>
          <w:sz w:val="20"/>
        </w:rPr>
        <w:t>Certification Pursuant to Section 906 of the Sarbanes-Oxley Act Of 2002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Adam P. Symson, President and Chief Executive Officer of The E.W. Scripps Company (the “Company”), hereby certify, pursuant to Section 906 of the Sarbanes-Oxley Act of 2002,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which this certification accompanies,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Adam P. Symson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Adam P. Symson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August 7, 2026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32.B</w:t>
      </w:r>
    </w:p>
    <w:p>
      <w:pPr>
        <w:pStyle w:val="TextBody"/>
        <w:bidi w:val="0"/>
        <w:spacing w:lineRule="auto" w:line="288" w:before="0" w:after="0"/>
        <w:jc w:val="right"/>
        <w:rPr/>
      </w:pPr>
      <w:r>
        <w:rPr>
          <w:rFonts w:ascii="Times New Roman;serif" w:hAnsi="Times New Roman;serif"/>
          <w:b/>
          <w:color w:val="000000"/>
          <w:sz w:val="20"/>
        </w:rPr>
        <w:t>Section 906 Certifications</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Pursuant to Section 906 of the Sarbanes-Oxley Act Of 2002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Jason Combs, Executive Vice President and Chief Financial Officer of The E.W. Scripps Company (the “Company”), hereby certify, pursuant to Section 906 of the Sarbanes-Oxley Act of 2002,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which this certification accompanies,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Jason Combs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Jason Combs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August 7, 2026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21451</Words>
  <Characters>120692</Characters>
  <CharactersWithSpaces>140588</CharactersWithSpaces>
  <Paragraphs>2922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