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14A</w:t>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the Securities Exchange Act of 1934</w:t>
      </w:r>
    </w:p>
    <w:p>
      <w:pPr>
        <w:spacing w:after="0" w:line="2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660" w:hanging="6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60" w:hanging="6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9" w:lineRule="exact"/>
        <w:rPr>
          <w:rFonts w:ascii="MS PGothic" w:cs="MS PGothic" w:eastAsia="MS PGothic" w:hAnsi="MS PGothic"/>
          <w:sz w:val="18"/>
          <w:szCs w:val="18"/>
          <w:color w:val="auto"/>
        </w:rPr>
      </w:pPr>
    </w:p>
    <w:p>
      <w:pPr>
        <w:ind w:left="660" w:hanging="6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6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E.W. SCRIPPS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Registrant as Specified In Its Charter)</w:t>
      </w:r>
    </w:p>
    <w:p>
      <w:pPr>
        <w:spacing w:after="0" w:line="320"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600" w:hanging="598"/>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00" w:hanging="598"/>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320" w:hanging="711"/>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1320" w:hanging="711"/>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320" w:hanging="711"/>
        <w:spacing w:after="0" w:line="277" w:lineRule="auto"/>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1320" w:hanging="711"/>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320" w:hanging="711"/>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600" w:hanging="598"/>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807085</wp:posOffset>
            </wp:positionH>
            <wp:positionV relativeFrom="paragraph">
              <wp:posOffset>-156210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-499110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-842010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-1322070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-1664970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ind w:left="600" w:right="20"/>
        <w:spacing w:after="0" w:line="306" w:lineRule="auto"/>
        <w:rPr>
          <w:sz w:val="20"/>
          <w:szCs w:val="20"/>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1320" w:hanging="71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1320" w:hanging="71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320" w:hanging="71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320" w:hanging="71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807085</wp:posOffset>
            </wp:positionH>
            <wp:positionV relativeFrom="paragraph">
              <wp:posOffset>186055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-156210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-499110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-842010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237490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863600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80" w:top="378"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7826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4D4D4D"/>
        </w:rPr>
        <w:t>THE E.W. SCRIPPS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-285750</wp:posOffset>
            </wp:positionV>
            <wp:extent cx="942975" cy="951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2975" cy="95123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Scripps Center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312 Walnut Street</w:t>
      </w:r>
    </w:p>
    <w:p>
      <w:pPr>
        <w:spacing w:after="0"/>
        <w:rPr>
          <w:sz w:val="20"/>
          <w:szCs w:val="20"/>
          <w:color w:val="auto"/>
        </w:rPr>
      </w:pPr>
      <w:r>
        <w:rPr>
          <w:rFonts w:ascii="Arial" w:cs="Arial" w:eastAsia="Arial" w:hAnsi="Arial"/>
          <w:sz w:val="20"/>
          <w:szCs w:val="20"/>
          <w:b w:val="1"/>
          <w:bCs w:val="1"/>
          <w:color w:val="4D4D4D"/>
        </w:rPr>
        <w:t>Cincinnati, Ohio 45202</w:t>
      </w:r>
    </w:p>
    <w:p>
      <w:pPr>
        <w:spacing w:after="0" w:line="279" w:lineRule="exact"/>
        <w:rPr>
          <w:sz w:val="20"/>
          <w:szCs w:val="20"/>
          <w:color w:val="auto"/>
        </w:rPr>
      </w:pPr>
    </w:p>
    <w:p>
      <w:pPr>
        <w:ind w:right="5100"/>
        <w:spacing w:after="0" w:line="350" w:lineRule="auto"/>
        <w:rPr>
          <w:sz w:val="20"/>
          <w:szCs w:val="20"/>
          <w:color w:val="auto"/>
        </w:rPr>
      </w:pPr>
      <w:r>
        <w:rPr>
          <w:rFonts w:ascii="Arial" w:cs="Arial" w:eastAsia="Arial" w:hAnsi="Arial"/>
          <w:sz w:val="29"/>
          <w:szCs w:val="29"/>
          <w:b w:val="1"/>
          <w:bCs w:val="1"/>
          <w:color w:val="0033A0"/>
        </w:rPr>
        <w:t>Notice of Virtual Annual Meeting of Shareholders To Be Held May 3,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240" w:type="dxa"/>
            <w:vAlign w:val="bottom"/>
            <w:shd w:val="clear" w:color="auto" w:fill="E6E6E6"/>
          </w:tcPr>
          <w:p>
            <w:pPr>
              <w:jc w:val="center"/>
              <w:spacing w:after="0"/>
              <w:rPr>
                <w:sz w:val="20"/>
                <w:szCs w:val="20"/>
                <w:color w:val="auto"/>
              </w:rPr>
            </w:pPr>
            <w:r>
              <w:rPr>
                <w:rFonts w:ascii="Arial" w:cs="Arial" w:eastAsia="Arial" w:hAnsi="Arial"/>
                <w:sz w:val="22"/>
                <w:szCs w:val="22"/>
                <w:b w:val="1"/>
                <w:bCs w:val="1"/>
                <w:color w:val="4D4D4D"/>
                <w:w w:val="93"/>
              </w:rPr>
              <w:t>Date &amp; Time:</w:t>
            </w:r>
          </w:p>
        </w:tc>
        <w:tc>
          <w:tcPr>
            <w:tcW w:w="220" w:type="dxa"/>
            <w:vAlign w:val="bottom"/>
          </w:tcPr>
          <w:p>
            <w:pPr>
              <w:spacing w:after="0"/>
              <w:rPr>
                <w:sz w:val="24"/>
                <w:szCs w:val="24"/>
                <w:color w:val="auto"/>
              </w:rPr>
            </w:pPr>
          </w:p>
        </w:tc>
        <w:tc>
          <w:tcPr>
            <w:tcW w:w="4300" w:type="dxa"/>
            <w:vAlign w:val="bottom"/>
            <w:shd w:val="clear" w:color="auto" w:fill="E6E6E6"/>
          </w:tcPr>
          <w:p>
            <w:pPr>
              <w:jc w:val="center"/>
              <w:spacing w:after="0"/>
              <w:rPr>
                <w:sz w:val="20"/>
                <w:szCs w:val="20"/>
                <w:color w:val="auto"/>
              </w:rPr>
            </w:pPr>
            <w:r>
              <w:rPr>
                <w:rFonts w:ascii="Arial" w:cs="Arial" w:eastAsia="Arial" w:hAnsi="Arial"/>
                <w:sz w:val="22"/>
                <w:szCs w:val="22"/>
                <w:b w:val="1"/>
                <w:bCs w:val="1"/>
                <w:color w:val="4D4D4D"/>
                <w:w w:val="88"/>
              </w:rPr>
              <w:t>Location:</w:t>
            </w:r>
          </w:p>
        </w:tc>
        <w:tc>
          <w:tcPr>
            <w:tcW w:w="200" w:type="dxa"/>
            <w:vAlign w:val="bottom"/>
          </w:tcPr>
          <w:p>
            <w:pPr>
              <w:spacing w:after="0"/>
              <w:rPr>
                <w:sz w:val="24"/>
                <w:szCs w:val="24"/>
                <w:color w:val="auto"/>
              </w:rPr>
            </w:pPr>
          </w:p>
        </w:tc>
        <w:tc>
          <w:tcPr>
            <w:tcW w:w="3280" w:type="dxa"/>
            <w:vAlign w:val="bottom"/>
            <w:shd w:val="clear" w:color="auto" w:fill="E6E6E6"/>
          </w:tcPr>
          <w:p>
            <w:pPr>
              <w:jc w:val="center"/>
              <w:spacing w:after="0"/>
              <w:rPr>
                <w:sz w:val="20"/>
                <w:szCs w:val="20"/>
                <w:color w:val="auto"/>
              </w:rPr>
            </w:pPr>
            <w:r>
              <w:rPr>
                <w:rFonts w:ascii="Arial" w:cs="Arial" w:eastAsia="Arial" w:hAnsi="Arial"/>
                <w:sz w:val="22"/>
                <w:szCs w:val="22"/>
                <w:b w:val="1"/>
                <w:bCs w:val="1"/>
                <w:color w:val="4D4D4D"/>
                <w:w w:val="90"/>
              </w:rPr>
              <w:t>Record Date:</w:t>
            </w:r>
          </w:p>
        </w:tc>
      </w:tr>
      <w:tr>
        <w:trPr>
          <w:trHeight w:val="216"/>
        </w:trPr>
        <w:tc>
          <w:tcPr>
            <w:tcW w:w="324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0033A0"/>
              </w:rPr>
              <w:t>May 3, 2021,</w:t>
            </w:r>
          </w:p>
        </w:tc>
        <w:tc>
          <w:tcPr>
            <w:tcW w:w="220" w:type="dxa"/>
            <w:vAlign w:val="bottom"/>
          </w:tcPr>
          <w:p>
            <w:pPr>
              <w:spacing w:after="0"/>
              <w:rPr>
                <w:sz w:val="18"/>
                <w:szCs w:val="18"/>
                <w:color w:val="auto"/>
              </w:rPr>
            </w:pPr>
          </w:p>
        </w:tc>
        <w:tc>
          <w:tcPr>
            <w:tcW w:w="430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0033A0"/>
              </w:rPr>
              <w:t>Virtual</w:t>
            </w:r>
          </w:p>
        </w:tc>
        <w:tc>
          <w:tcPr>
            <w:tcW w:w="200" w:type="dxa"/>
            <w:vAlign w:val="bottom"/>
          </w:tcPr>
          <w:p>
            <w:pPr>
              <w:spacing w:after="0"/>
              <w:rPr>
                <w:sz w:val="18"/>
                <w:szCs w:val="18"/>
                <w:color w:val="auto"/>
              </w:rPr>
            </w:pPr>
          </w:p>
        </w:tc>
        <w:tc>
          <w:tcPr>
            <w:tcW w:w="328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0033A0"/>
              </w:rPr>
              <w:t>March 8, 2021</w:t>
            </w:r>
          </w:p>
        </w:tc>
      </w:tr>
      <w:tr>
        <w:trPr>
          <w:trHeight w:val="234"/>
        </w:trPr>
        <w:tc>
          <w:tcPr>
            <w:tcW w:w="324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0033A0"/>
              </w:rPr>
              <w:t>at 4:00 PM</w:t>
            </w:r>
          </w:p>
        </w:tc>
        <w:tc>
          <w:tcPr>
            <w:tcW w:w="220" w:type="dxa"/>
            <w:vAlign w:val="bottom"/>
          </w:tcPr>
          <w:p>
            <w:pPr>
              <w:spacing w:after="0"/>
              <w:rPr>
                <w:sz w:val="20"/>
                <w:szCs w:val="20"/>
                <w:color w:val="auto"/>
              </w:rPr>
            </w:pPr>
          </w:p>
        </w:tc>
        <w:tc>
          <w:tcPr>
            <w:tcW w:w="430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0033A0"/>
              </w:rPr>
              <w:t>www.virtualshareholdermeeting.com/SSP2021</w:t>
            </w:r>
          </w:p>
        </w:tc>
        <w:tc>
          <w:tcPr>
            <w:tcW w:w="200" w:type="dxa"/>
            <w:vAlign w:val="bottom"/>
          </w:tcPr>
          <w:p>
            <w:pPr>
              <w:spacing w:after="0"/>
              <w:rPr>
                <w:sz w:val="20"/>
                <w:szCs w:val="20"/>
                <w:color w:val="auto"/>
              </w:rPr>
            </w:pPr>
          </w:p>
        </w:tc>
        <w:tc>
          <w:tcPr>
            <w:tcW w:w="3280" w:type="dxa"/>
            <w:vAlign w:val="bottom"/>
            <w:shd w:val="clear" w:color="auto" w:fill="E6E6E6"/>
          </w:tcPr>
          <w:p>
            <w:pPr>
              <w:spacing w:after="0"/>
              <w:rPr>
                <w:sz w:val="20"/>
                <w:szCs w:val="20"/>
                <w:color w:val="auto"/>
              </w:rPr>
            </w:pPr>
          </w:p>
        </w:tc>
      </w:tr>
      <w:tr>
        <w:trPr>
          <w:trHeight w:val="67"/>
        </w:trPr>
        <w:tc>
          <w:tcPr>
            <w:tcW w:w="3240" w:type="dxa"/>
            <w:vAlign w:val="bottom"/>
            <w:shd w:val="clear" w:color="auto" w:fill="E6E6E6"/>
          </w:tcPr>
          <w:p>
            <w:pPr>
              <w:spacing w:after="0"/>
              <w:rPr>
                <w:sz w:val="5"/>
                <w:szCs w:val="5"/>
                <w:color w:val="auto"/>
              </w:rPr>
            </w:pPr>
          </w:p>
        </w:tc>
        <w:tc>
          <w:tcPr>
            <w:tcW w:w="220" w:type="dxa"/>
            <w:vAlign w:val="bottom"/>
          </w:tcPr>
          <w:p>
            <w:pPr>
              <w:spacing w:after="0"/>
              <w:rPr>
                <w:sz w:val="5"/>
                <w:szCs w:val="5"/>
                <w:color w:val="auto"/>
              </w:rPr>
            </w:pPr>
          </w:p>
        </w:tc>
        <w:tc>
          <w:tcPr>
            <w:tcW w:w="4300" w:type="dxa"/>
            <w:vAlign w:val="bottom"/>
            <w:shd w:val="clear" w:color="auto" w:fill="E6E6E6"/>
          </w:tcPr>
          <w:p>
            <w:pPr>
              <w:spacing w:after="0"/>
              <w:rPr>
                <w:sz w:val="5"/>
                <w:szCs w:val="5"/>
                <w:color w:val="auto"/>
              </w:rPr>
            </w:pPr>
          </w:p>
        </w:tc>
        <w:tc>
          <w:tcPr>
            <w:tcW w:w="200" w:type="dxa"/>
            <w:vAlign w:val="bottom"/>
          </w:tcPr>
          <w:p>
            <w:pPr>
              <w:spacing w:after="0"/>
              <w:rPr>
                <w:sz w:val="5"/>
                <w:szCs w:val="5"/>
                <w:color w:val="auto"/>
              </w:rPr>
            </w:pPr>
          </w:p>
        </w:tc>
        <w:tc>
          <w:tcPr>
            <w:tcW w:w="3280" w:type="dxa"/>
            <w:vAlign w:val="bottom"/>
            <w:shd w:val="clear" w:color="auto" w:fill="E6E6E6"/>
          </w:tcPr>
          <w:p>
            <w:pPr>
              <w:spacing w:after="0"/>
              <w:rPr>
                <w:sz w:val="5"/>
                <w:szCs w:val="5"/>
                <w:color w:val="auto"/>
              </w:rPr>
            </w:pPr>
          </w:p>
        </w:tc>
      </w:tr>
    </w:tbl>
    <w:p>
      <w:pPr>
        <w:spacing w:after="0" w:line="189" w:lineRule="exact"/>
        <w:rPr>
          <w:sz w:val="20"/>
          <w:szCs w:val="20"/>
          <w:color w:val="auto"/>
        </w:rPr>
      </w:pPr>
    </w:p>
    <w:p>
      <w:pPr>
        <w:sectPr>
          <w:pgSz w:w="11900" w:h="16838" w:orient="portrait"/>
          <w:cols w:equalWidth="0" w:num="1">
            <w:col w:w="11240"/>
          </w:cols>
          <w:pgMar w:left="320" w:top="96" w:right="339" w:bottom="1440" w:gutter="0" w:footer="0" w:header="0"/>
        </w:sectPr>
      </w:pPr>
    </w:p>
    <w:p>
      <w:pPr>
        <w:ind w:left="380"/>
        <w:spacing w:after="0"/>
        <w:rPr>
          <w:sz w:val="20"/>
          <w:szCs w:val="20"/>
          <w:color w:val="auto"/>
        </w:rPr>
      </w:pPr>
      <w:r>
        <w:rPr>
          <w:rFonts w:ascii="Arial" w:cs="Arial" w:eastAsia="Arial" w:hAnsi="Arial"/>
          <w:sz w:val="19"/>
          <w:szCs w:val="19"/>
          <w:b w:val="1"/>
          <w:bCs w:val="1"/>
          <w:color w:val="0033A0"/>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75565</wp:posOffset>
            </wp:positionV>
            <wp:extent cx="728345" cy="728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spacing w:after="0"/>
        <w:rPr>
          <w:sz w:val="20"/>
          <w:szCs w:val="20"/>
          <w:color w:val="auto"/>
        </w:rPr>
      </w:pPr>
      <w:r>
        <w:rPr>
          <w:rFonts w:ascii="Arial" w:cs="Arial" w:eastAsia="Arial" w:hAnsi="Arial"/>
          <w:sz w:val="16"/>
          <w:szCs w:val="16"/>
          <w:color w:val="0033A0"/>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226695</wp:posOffset>
            </wp:positionV>
            <wp:extent cx="9944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33A0"/>
        </w:rPr>
        <w:t>Vote 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109855</wp:posOffset>
            </wp:positionV>
            <wp:extent cx="728345" cy="728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34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color w:val="0033A0"/>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177800</wp:posOffset>
            </wp:positionV>
            <wp:extent cx="994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4D4D4D"/>
        </w:rPr>
        <w:t>To the Shareholders of The E.W. Scripps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-130810</wp:posOffset>
            </wp:positionV>
            <wp:extent cx="8890" cy="4911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4911725"/>
                    </a:xfrm>
                    <a:prstGeom prst="rect">
                      <a:avLst/>
                    </a:prstGeom>
                    <a:noFill/>
                  </pic:spPr>
                </pic:pic>
              </a:graphicData>
            </a:graphic>
          </wp:anchor>
        </w:drawing>
      </w:r>
    </w:p>
    <w:p>
      <w:pPr>
        <w:spacing w:after="0" w:line="6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Annual Meeting of the Shareholders (the "Annual Meeting") of The E.W. Scripps Company (the “Company”) will be held virtually at www.virtualshareholdermeeting.com/SSP2021, on Monday, May 3, 2021, at 4:00 PM, Eastern Time, for the following purposes:</w:t>
      </w:r>
    </w:p>
    <w:p>
      <w:pPr>
        <w:spacing w:after="0" w:line="76" w:lineRule="exact"/>
        <w:rPr>
          <w:sz w:val="20"/>
          <w:szCs w:val="20"/>
          <w:color w:val="auto"/>
        </w:rPr>
      </w:pPr>
    </w:p>
    <w:p>
      <w:pPr>
        <w:ind w:left="360" w:hanging="359"/>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w:t>
      </w:r>
    </w:p>
    <w:p>
      <w:pPr>
        <w:spacing w:after="0" w:line="117" w:lineRule="exact"/>
        <w:rPr>
          <w:rFonts w:ascii="Arial" w:cs="Arial" w:eastAsia="Arial" w:hAnsi="Arial"/>
          <w:sz w:val="18"/>
          <w:szCs w:val="18"/>
          <w:color w:val="auto"/>
        </w:rPr>
      </w:pPr>
    </w:p>
    <w:p>
      <w:pPr>
        <w:ind w:left="360" w:hanging="359"/>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Deloitte &amp; Touche LLP as the Company’s independent registered public accounting firm for 2021;</w:t>
      </w:r>
    </w:p>
    <w:p>
      <w:pPr>
        <w:spacing w:after="0" w:line="128" w:lineRule="exact"/>
        <w:rPr>
          <w:rFonts w:ascii="Arial" w:cs="Arial" w:eastAsia="Arial" w:hAnsi="Arial"/>
          <w:sz w:val="17"/>
          <w:szCs w:val="17"/>
          <w:color w:val="auto"/>
        </w:rPr>
      </w:pPr>
    </w:p>
    <w:p>
      <w:pPr>
        <w:ind w:left="320" w:right="80" w:hanging="319"/>
        <w:spacing w:after="0" w:line="277" w:lineRule="auto"/>
        <w:tabs>
          <w:tab w:leader="none" w:pos="37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(non-binding) vote to approve named executive officer compensation (a “say-on-pay vote”); and</w:t>
      </w:r>
    </w:p>
    <w:p>
      <w:pPr>
        <w:spacing w:after="0" w:line="62" w:lineRule="exact"/>
        <w:rPr>
          <w:rFonts w:ascii="Arial" w:cs="Arial" w:eastAsia="Arial" w:hAnsi="Arial"/>
          <w:sz w:val="18"/>
          <w:szCs w:val="18"/>
          <w:color w:val="auto"/>
        </w:rPr>
      </w:pPr>
    </w:p>
    <w:p>
      <w:pPr>
        <w:ind w:left="360" w:hanging="359"/>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E.W. Scripps Company 2010 Long-term Incentive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Use the Internet to transmit your voting instructions and for electronic delivery of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will also transact such other business as may properly come before the Annual Meeting.</w:t>
      </w:r>
    </w:p>
    <w:p>
      <w:pPr>
        <w:spacing w:after="0" w:line="225"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Shareholders as of close of business on the record date of March 8, 2021 are entitled to vote at the Annual Meeting by visiting www.virtualshareholdermeeting.com/SSP2021 and entering the 16-digit control number included on your Notice of Internet Availability of Proxy Materials, proxy card, and on the instructions that accompany your proxy materials. The Annual Meeting will begin promptly at 4:00 PM, Eastern Time with online check-in beginning at 3:45 PM, Eastern Time. Please allow ample time for the online check-in process.</w:t>
      </w:r>
    </w:p>
    <w:p>
      <w:pPr>
        <w:spacing w:after="0" w:line="176"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We are furnishing our proxy materials to you under Securities and Exchange Commission rules that allow companies to deliver proxy materials to their shareholders on the Internet. On or about March 19, 2021, you were provided with a Notice of Internet Availability of Proxy Materials (“Notice”) and were provided access to our proxy materials over the Internet. The proxy materials include the 2020 Annual Report to Shareholders and the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Use any touch-tone telephone to transmit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1249045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1940" w:space="720"/>
            <w:col w:w="8580"/>
          </w:cols>
          <w:pgMar w:left="320" w:top="96" w:right="339" w:bottom="1440" w:gutter="0" w:footer="0" w:header="0"/>
          <w:type w:val="continuous"/>
        </w:sectPr>
      </w:pPr>
    </w:p>
    <w:bookmarkStart w:id="3" w:name="page4"/>
    <w:bookmarkEnd w:id="3"/>
    <w:p>
      <w:pPr>
        <w:ind w:left="80"/>
        <w:spacing w:after="0"/>
        <w:rPr>
          <w:sz w:val="20"/>
          <w:szCs w:val="20"/>
          <w:color w:val="auto"/>
        </w:rPr>
      </w:pPr>
      <w:r>
        <w:rPr>
          <w:rFonts w:ascii="Arial" w:cs="Arial" w:eastAsia="Arial" w:hAnsi="Arial"/>
          <w:sz w:val="21"/>
          <w:szCs w:val="21"/>
          <w:b w:val="1"/>
          <w:bCs w:val="1"/>
          <w:color w:val="0033A0"/>
        </w:rPr>
        <w:t>Vote by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0033A0"/>
        </w:rPr>
        <w:t>request &amp; submit a</w:t>
      </w:r>
    </w:p>
    <w:p>
      <w:pPr>
        <w:spacing w:after="0" w:line="4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0033A0"/>
        </w:rPr>
        <w:t>paper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262890</wp:posOffset>
            </wp:positionV>
            <wp:extent cx="994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Even if you plan to participate in this year’s Annual Meeting, it is a good idea to vote your shares before the Annual Meeting in case your plans change. Whether you vote online, by phone or by mail, please have your Notice, proxy card or instructions that accompanied your proxy materials available and follow the instructions. Alternatively, you may follow the procedures outlined in the Notice to request a paper proxy card to submit your vote by mail. If you attend the meeting and your shares are registered in your name, you may withdraw your proxy at that time and vote your shares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-1214120</wp:posOffset>
            </wp:positionV>
            <wp:extent cx="8890" cy="2451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5173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Your proxy is being solicited by the Board.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Julie L. McGehee, Esq.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 and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511810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1480" w:space="720"/>
            <w:col w:w="8500"/>
          </w:cols>
          <w:pgMar w:left="780" w:top="720" w:right="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5"/>
          <w:szCs w:val="25"/>
          <w:b w:val="1"/>
          <w:bCs w:val="1"/>
          <w:color w:val="0033A0"/>
        </w:rPr>
        <w:t>Table of Contents</w:t>
      </w:r>
    </w:p>
    <w:p>
      <w:pPr>
        <w:sectPr>
          <w:pgSz w:w="11900" w:h="16838" w:orient="portrait"/>
          <w:cols w:equalWidth="0" w:num="1">
            <w:col w:w="11220"/>
          </w:cols>
          <w:pgMar w:left="340" w:top="5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2021 ANNUAL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3282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1" w:lineRule="exact"/>
        <w:rPr>
          <w:sz w:val="20"/>
          <w:szCs w:val="20"/>
          <w:color w:val="auto"/>
        </w:rPr>
      </w:pPr>
    </w:p>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INTERNET AVAILABILITY OF PROXY MATERIALS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VOTING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PARTICIPATION IN THE ANNUAL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SOLICITATION OF PROXIES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PROPOSAL 1 – 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REPORT ON THE NOMINEES FOR ELECTION</w:t>
        </w:r>
      </w:hyperlink>
    </w:p>
    <w:p>
      <w:pPr>
        <w:spacing w:after="0" w:line="26" w:lineRule="exact"/>
        <w:rPr>
          <w:sz w:val="20"/>
          <w:szCs w:val="20"/>
          <w:color w:val="auto"/>
        </w:rPr>
      </w:pPr>
    </w:p>
    <w:p>
      <w:pPr>
        <w:ind w:left="120"/>
        <w:spacing w:after="0"/>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TO THE BOARD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32829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wp:posOffset>
            </wp:positionV>
            <wp:extent cx="1668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11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3">
        <w:r>
          <w:rPr>
            <w:rFonts w:ascii="Arial" w:cs="Arial" w:eastAsia="Arial" w:hAnsi="Arial"/>
            <w:sz w:val="16"/>
            <w:szCs w:val="16"/>
            <w:b w:val="1"/>
            <w:bCs w:val="1"/>
            <w:u w:val="single" w:color="auto"/>
            <w:color w:val="0000EE"/>
          </w:rPr>
          <w:t>REPORT ON THE SECURITY OWNERSHIP OF</w:t>
        </w:r>
      </w:hyperlink>
    </w:p>
    <w:p>
      <w:pPr>
        <w:spacing w:after="0" w:line="26" w:lineRule="exact"/>
        <w:rPr>
          <w:sz w:val="20"/>
          <w:szCs w:val="20"/>
          <w:color w:val="auto"/>
        </w:rPr>
      </w:pPr>
    </w:p>
    <w:p>
      <w:pPr>
        <w:ind w:left="120"/>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CERTAIN BENEFICIAL OWNERS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3282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wp:posOffset>
            </wp:positionV>
            <wp:extent cx="16891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11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5">
        <w:r>
          <w:rPr>
            <w:rFonts w:ascii="Arial" w:cs="Arial" w:eastAsia="Arial" w:hAnsi="Arial"/>
            <w:sz w:val="16"/>
            <w:szCs w:val="16"/>
            <w:b w:val="1"/>
            <w:bCs w:val="1"/>
            <w:u w:val="single" w:color="auto"/>
            <w:color w:val="0000EE"/>
          </w:rPr>
          <w:t>REPORT ON THE SECURITY OWNERSHIP OF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6">
        <w:r>
          <w:rPr>
            <w:rFonts w:ascii="Arial" w:cs="Arial" w:eastAsia="Arial" w:hAnsi="Arial"/>
            <w:sz w:val="16"/>
            <w:szCs w:val="16"/>
            <w:b w:val="1"/>
            <w:bCs w:val="1"/>
            <w:u w:val="single" w:color="auto"/>
            <w:color w:val="0000EE"/>
          </w:rPr>
          <w:t>PROHIBITION OF HEDGING AND PLEDGING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
        <w:r>
          <w:rPr>
            <w:rFonts w:ascii="Arial" w:cs="Arial" w:eastAsia="Arial" w:hAnsi="Arial"/>
            <w:sz w:val="16"/>
            <w:szCs w:val="16"/>
            <w:b w:val="1"/>
            <w:bCs w:val="1"/>
            <w:u w:val="single" w:color="auto"/>
            <w:color w:val="0000EE"/>
          </w:rPr>
          <w:t>REPORT ON THE BOARD OF DIRECTORS AND ITS COMMITTEES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ind w:left="120" w:right="920" w:hanging="129"/>
        <w:spacing w:after="0" w:line="298" w:lineRule="auto"/>
        <w:rPr>
          <w:rFonts w:ascii="Arial" w:cs="Arial" w:eastAsia="Arial" w:hAnsi="Arial"/>
          <w:sz w:val="16"/>
          <w:szCs w:val="16"/>
          <w:b w:val="1"/>
          <w:bCs w:val="1"/>
          <w:u w:val="single" w:color="auto"/>
          <w:color w:val="0000EE"/>
        </w:rPr>
      </w:pPr>
      <w:hyperlink w:anchor="page19">
        <w:r>
          <w:rPr>
            <w:rFonts w:ascii="Arial" w:cs="Arial" w:eastAsia="Arial" w:hAnsi="Arial"/>
            <w:sz w:val="16"/>
            <w:szCs w:val="16"/>
            <w:b w:val="1"/>
            <w:bCs w:val="1"/>
            <w:u w:val="single" w:color="auto"/>
            <w:color w:val="0000EE"/>
          </w:rPr>
          <w:t>IN SUPPORT OF GIVING LIGHT CORPORATE SOCIAL</w:t>
        </w:r>
      </w:hyperlink>
      <w:r>
        <w:rPr>
          <w:rFonts w:ascii="Arial" w:cs="Arial" w:eastAsia="Arial" w:hAnsi="Arial"/>
          <w:sz w:val="16"/>
          <w:szCs w:val="16"/>
          <w:b w:val="1"/>
          <w:bCs w:val="1"/>
          <w:u w:val="single" w:color="auto"/>
          <w:color w:val="0000EE"/>
        </w:rPr>
        <w:t xml:space="preserve"> </w:t>
      </w:r>
      <w:hyperlink w:anchor="page19">
        <w:r>
          <w:rPr>
            <w:rFonts w:ascii="Arial" w:cs="Arial" w:eastAsia="Arial" w:hAnsi="Arial"/>
            <w:sz w:val="16"/>
            <w:szCs w:val="16"/>
            <w:b w:val="1"/>
            <w:bCs w:val="1"/>
            <w:u w:val="single" w:color="auto"/>
            <w:color w:val="0000EE"/>
          </w:rPr>
          <w:t>RESPONSIBILITY AT SCRIPPS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3282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7">
        <w:r>
          <w:rPr>
            <w:rFonts w:ascii="Arial" w:cs="Arial" w:eastAsia="Arial" w:hAnsi="Arial"/>
            <w:sz w:val="16"/>
            <w:szCs w:val="16"/>
            <w:b w:val="1"/>
            <w:bCs w:val="1"/>
            <w:u w:val="single" w:color="auto"/>
            <w:color w:val="0000EE"/>
          </w:rPr>
          <w:t>AUDIT COMMITTEE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282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0" w:lineRule="exact"/>
        <w:rPr>
          <w:sz w:val="20"/>
          <w:szCs w:val="20"/>
          <w:color w:val="auto"/>
        </w:rPr>
      </w:pPr>
    </w:p>
    <w:p>
      <w:pPr>
        <w:ind w:left="120" w:right="600" w:hanging="129"/>
        <w:spacing w:after="0" w:line="298" w:lineRule="auto"/>
        <w:rPr>
          <w:rFonts w:ascii="Arial" w:cs="Arial" w:eastAsia="Arial" w:hAnsi="Arial"/>
          <w:sz w:val="16"/>
          <w:szCs w:val="16"/>
          <w:b w:val="1"/>
          <w:bCs w:val="1"/>
          <w:u w:val="single" w:color="auto"/>
          <w:color w:val="0000EE"/>
        </w:rPr>
      </w:pPr>
      <w:hyperlink w:anchor="page28">
        <w:r>
          <w:rPr>
            <w:rFonts w:ascii="Arial" w:cs="Arial" w:eastAsia="Arial" w:hAnsi="Arial"/>
            <w:sz w:val="16"/>
            <w:szCs w:val="16"/>
            <w:b w:val="1"/>
            <w:bCs w:val="1"/>
            <w:u w:val="single" w:color="auto"/>
            <w:color w:val="0000EE"/>
          </w:rPr>
          <w:t>REPORT OF THE AUDIT COMMITTEE OF THE BOARD OF</w:t>
        </w:r>
      </w:hyperlink>
      <w:r>
        <w:rPr>
          <w:rFonts w:ascii="Arial" w:cs="Arial" w:eastAsia="Arial" w:hAnsi="Arial"/>
          <w:sz w:val="16"/>
          <w:szCs w:val="16"/>
          <w:b w:val="1"/>
          <w:bCs w:val="1"/>
          <w:u w:val="single" w:color="auto"/>
          <w:color w:val="0000EE"/>
        </w:rPr>
        <w:t xml:space="preserve"> </w:t>
      </w:r>
      <w:hyperlink w:anchor="page28">
        <w:r>
          <w:rPr>
            <w:rFonts w:ascii="Arial" w:cs="Arial" w:eastAsia="Arial" w:hAnsi="Arial"/>
            <w:sz w:val="16"/>
            <w:szCs w:val="16"/>
            <w:b w:val="1"/>
            <w:bCs w:val="1"/>
            <w:u w:val="single" w:color="auto"/>
            <w:color w:val="0000EE"/>
          </w:rPr>
          <w:t>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32829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0" w:lineRule="exact"/>
        <w:rPr>
          <w:sz w:val="20"/>
          <w:szCs w:val="20"/>
          <w:color w:val="auto"/>
        </w:rPr>
      </w:pPr>
    </w:p>
    <w:p>
      <w:pPr>
        <w:ind w:right="1520"/>
        <w:spacing w:after="0" w:line="450" w:lineRule="auto"/>
        <w:rPr>
          <w:rFonts w:ascii="Arial" w:cs="Arial" w:eastAsia="Arial" w:hAnsi="Arial"/>
          <w:sz w:val="15"/>
          <w:szCs w:val="15"/>
          <w:b w:val="1"/>
          <w:bCs w:val="1"/>
          <w:u w:val="single" w:color="auto"/>
          <w:color w:val="0000EE"/>
        </w:rPr>
      </w:pPr>
      <w:hyperlink w:anchor="page29">
        <w:r>
          <w:rPr>
            <w:rFonts w:ascii="Arial" w:cs="Arial" w:eastAsia="Arial" w:hAnsi="Arial"/>
            <w:sz w:val="15"/>
            <w:szCs w:val="15"/>
            <w:b w:val="1"/>
            <w:bCs w:val="1"/>
            <w:u w:val="single" w:color="auto"/>
            <w:color w:val="0000EE"/>
          </w:rPr>
          <w:t>COMPENSATION COMMITTEE REPORT</w:t>
        </w:r>
      </w:hyperlink>
      <w:r>
        <w:rPr>
          <w:rFonts w:ascii="Arial" w:cs="Arial" w:eastAsia="Arial" w:hAnsi="Arial"/>
          <w:sz w:val="15"/>
          <w:szCs w:val="15"/>
          <w:b w:val="1"/>
          <w:bCs w:val="1"/>
          <w:u w:val="single" w:color="auto"/>
          <w:color w:val="0000EE"/>
        </w:rPr>
        <w:t xml:space="preserve"> </w:t>
      </w:r>
      <w:hyperlink w:anchor="page30">
        <w:r>
          <w:rPr>
            <w:rFonts w:ascii="Arial" w:cs="Arial" w:eastAsia="Arial" w:hAnsi="Arial"/>
            <w:sz w:val="15"/>
            <w:szCs w:val="15"/>
            <w:b w:val="1"/>
            <w:bCs w:val="1"/>
            <w:u w:val="single" w:color="auto"/>
            <w:color w:val="0000EE"/>
          </w:rPr>
          <w:t>COMPENSATION DISCUSSION AND ANALYSIS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328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-272415</wp:posOffset>
            </wp:positionV>
            <wp:extent cx="3282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Executive Summary</w:t>
        </w:r>
      </w:hyperlink>
    </w:p>
    <w:p>
      <w:pPr>
        <w:spacing w:after="0" w:line="23" w:lineRule="exact"/>
        <w:rPr>
          <w:sz w:val="20"/>
          <w:szCs w:val="20"/>
          <w:color w:val="auto"/>
        </w:rPr>
      </w:pPr>
    </w:p>
    <w:p>
      <w:pPr>
        <w:ind w:right="2100"/>
        <w:spacing w:after="0" w:line="281" w:lineRule="auto"/>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Objectives of our Compensation Program</w:t>
        </w:r>
      </w:hyperlink>
      <w:r>
        <w:rPr>
          <w:rFonts w:ascii="Arial" w:cs="Arial" w:eastAsia="Arial" w:hAnsi="Arial"/>
          <w:sz w:val="16"/>
          <w:szCs w:val="16"/>
          <w:u w:val="single" w:color="auto"/>
          <w:color w:val="0000EE"/>
        </w:rPr>
        <w:t xml:space="preserve"> </w:t>
      </w:r>
      <w:hyperlink w:anchor="page31">
        <w:r>
          <w:rPr>
            <w:rFonts w:ascii="Arial" w:cs="Arial" w:eastAsia="Arial" w:hAnsi="Arial"/>
            <w:sz w:val="16"/>
            <w:szCs w:val="16"/>
            <w:u w:val="single" w:color="auto"/>
            <w:color w:val="0000EE"/>
          </w:rPr>
          <w:t>2020 Compensation Highlights</w:t>
        </w:r>
      </w:hyperlink>
    </w:p>
    <w:p>
      <w:pPr>
        <w:spacing w:after="0" w:line="1" w:lineRule="exact"/>
        <w:rPr>
          <w:sz w:val="20"/>
          <w:szCs w:val="20"/>
          <w:color w:val="auto"/>
        </w:rPr>
      </w:pPr>
    </w:p>
    <w:p>
      <w:pPr>
        <w:ind w:right="2120"/>
        <w:spacing w:after="0" w:line="250"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Our Compensation Policies and Practices</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Core Compensation Elements</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Base Salary</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Short-Term Incentive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Long-Term Incentive</w:t>
        </w:r>
      </w:hyperlink>
    </w:p>
    <w:p>
      <w:pPr>
        <w:spacing w:after="0" w:line="9" w:lineRule="exact"/>
        <w:rPr>
          <w:rFonts w:ascii="Arial" w:cs="Arial" w:eastAsia="Arial" w:hAnsi="Arial"/>
          <w:sz w:val="18"/>
          <w:szCs w:val="18"/>
          <w:u w:val="single" w:color="auto"/>
          <w:color w:val="0000EE"/>
        </w:rPr>
      </w:pPr>
    </w:p>
    <w:p>
      <w:pPr>
        <w:ind w:right="1640"/>
        <w:spacing w:after="0" w:line="250"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Additional Compensation Policies and Practices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Incentive Compensation Recoupment Policy</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Stock Ownership Requirements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Post-Employment Benefits</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Health, Welfare and Other Personal Benefits</w:t>
        </w:r>
      </w:hyperlink>
    </w:p>
    <w:p>
      <w:pPr>
        <w:spacing w:after="0" w:line="9" w:lineRule="exact"/>
        <w:rPr>
          <w:rFonts w:ascii="Arial" w:cs="Arial" w:eastAsia="Arial" w:hAnsi="Arial"/>
          <w:sz w:val="18"/>
          <w:szCs w:val="18"/>
          <w:u w:val="single" w:color="auto"/>
          <w:color w:val="0000EE"/>
        </w:rPr>
      </w:pPr>
    </w:p>
    <w:p>
      <w:pPr>
        <w:ind w:left="120" w:hanging="129"/>
        <w:spacing w:after="0" w:line="250"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Employment Agreements, Executive Severance and Change in Control</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Plan</w:t>
        </w:r>
      </w:hyperlink>
    </w:p>
    <w:p>
      <w:pPr>
        <w:spacing w:after="0" w:line="1" w:lineRule="exact"/>
        <w:rPr>
          <w:sz w:val="20"/>
          <w:szCs w:val="20"/>
          <w:color w:val="auto"/>
        </w:rPr>
      </w:pPr>
    </w:p>
    <w:p>
      <w:pPr>
        <w:ind w:right="2060"/>
        <w:spacing w:after="0" w:line="253"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Compensation Consultant and Peer Group</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Independent Compensation Consultant</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Compensation Peer Group</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Tax Implications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76" w:lineRule="exact"/>
        <w:rPr>
          <w:rFonts w:ascii="Arial" w:cs="Arial" w:eastAsia="Arial" w:hAnsi="Arial"/>
          <w:sz w:val="18"/>
          <w:szCs w:val="18"/>
          <w:u w:val="single" w:color="auto"/>
          <w:color w:val="0000EE"/>
        </w:rPr>
      </w:pPr>
    </w:p>
    <w:p>
      <w:pPr>
        <w:ind w:left="420"/>
        <w:spacing w:after="0"/>
        <w:rPr>
          <w:sz w:val="20"/>
          <w:szCs w:val="20"/>
          <w:color w:val="auto"/>
        </w:rPr>
      </w:pPr>
      <w:r>
        <w:rPr>
          <w:rFonts w:ascii="Arial" w:cs="Arial" w:eastAsia="Arial" w:hAnsi="Arial"/>
          <w:sz w:val="18"/>
          <w:szCs w:val="18"/>
          <w:b w:val="1"/>
          <w:bCs w:val="1"/>
          <w:color w:val="0033A0"/>
        </w:rPr>
        <w:t>EXECUTIVE COMPENSATION</w:t>
      </w:r>
    </w:p>
    <w:p>
      <w:pPr>
        <w:spacing w:after="0" w:line="54" w:lineRule="exact"/>
        <w:rPr>
          <w:rFonts w:ascii="Arial" w:cs="Arial" w:eastAsia="Arial" w:hAnsi="Arial"/>
          <w:sz w:val="18"/>
          <w:szCs w:val="18"/>
          <w:u w:val="single" w:color="auto"/>
          <w:color w:val="0000EE"/>
        </w:rPr>
      </w:pPr>
    </w:p>
    <w:tbl>
      <w:tblPr>
        <w:tblLayout w:type="fixed"/>
        <w:tblInd w:w="20" w:type="dxa"/>
        <w:tblCellMar>
          <w:top w:w="0" w:type="dxa"/>
          <w:left w:w="0" w:type="dxa"/>
          <w:bottom w:w="0" w:type="dxa"/>
          <w:right w:w="0" w:type="dxa"/>
        </w:tblCellMar>
      </w:tblPr>
      <w:tr>
        <w:trPr>
          <w:trHeight w:val="210"/>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0033A0"/>
              </w:rPr>
              <w:t>6</w:t>
            </w:r>
          </w:p>
        </w:tc>
        <w:tc>
          <w:tcPr>
            <w:tcW w:w="500" w:type="dxa"/>
            <w:vAlign w:val="bottom"/>
            <w:gridSpan w:val="2"/>
            <w:vMerge w:val="restart"/>
          </w:tcPr>
          <w:p>
            <w:pPr>
              <w:ind w:left="12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2020</w:t>
              </w:r>
            </w:hyperlink>
          </w:p>
        </w:tc>
        <w:tc>
          <w:tcPr>
            <w:tcW w:w="4800" w:type="dxa"/>
            <w:vAlign w:val="bottom"/>
            <w:gridSpan w:val="3"/>
            <w:vMerge w:val="restart"/>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Summary Compensation Table</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800" w:type="dxa"/>
            <w:vAlign w:val="bottom"/>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0033A0"/>
              </w:rPr>
              <w:t>6</w:t>
            </w:r>
          </w:p>
        </w:tc>
        <w:tc>
          <w:tcPr>
            <w:tcW w:w="500" w:type="dxa"/>
            <w:vAlign w:val="bottom"/>
            <w:gridSpan w:val="2"/>
          </w:tcPr>
          <w:p>
            <w:pPr>
              <w:ind w:left="120"/>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2020</w:t>
              </w:r>
            </w:hyperlink>
          </w:p>
        </w:tc>
        <w:tc>
          <w:tcPr>
            <w:tcW w:w="4800" w:type="dxa"/>
            <w:vAlign w:val="bottom"/>
            <w:gridSpan w:val="3"/>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Grants of Plan-Based Awards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rPr>
              <w:t>6</w:t>
            </w:r>
          </w:p>
        </w:tc>
        <w:tc>
          <w:tcPr>
            <w:tcW w:w="500" w:type="dxa"/>
            <w:vAlign w:val="bottom"/>
            <w:gridSpan w:val="2"/>
          </w:tcPr>
          <w:p>
            <w:pPr>
              <w:ind w:left="120"/>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2020</w:t>
              </w:r>
            </w:hyperlink>
          </w:p>
        </w:tc>
        <w:tc>
          <w:tcPr>
            <w:tcW w:w="4800" w:type="dxa"/>
            <w:vAlign w:val="bottom"/>
            <w:gridSpan w:val="3"/>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Outstanding Equity Awards at Fiscal Year-End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43"/>
        </w:trPr>
        <w:tc>
          <w:tcPr>
            <w:tcW w:w="280" w:type="dxa"/>
            <w:vAlign w:val="bottom"/>
            <w:vMerge w:val="continue"/>
          </w:tcPr>
          <w:p>
            <w:pPr>
              <w:spacing w:after="0"/>
              <w:rPr>
                <w:sz w:val="12"/>
                <w:szCs w:val="12"/>
                <w:color w:val="auto"/>
              </w:rPr>
            </w:pPr>
          </w:p>
        </w:tc>
        <w:tc>
          <w:tcPr>
            <w:tcW w:w="500" w:type="dxa"/>
            <w:vAlign w:val="bottom"/>
            <w:gridSpan w:val="2"/>
            <w:vMerge w:val="restart"/>
          </w:tcPr>
          <w:p>
            <w:pPr>
              <w:ind w:left="12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2020</w:t>
              </w:r>
            </w:hyperlink>
          </w:p>
        </w:tc>
        <w:tc>
          <w:tcPr>
            <w:tcW w:w="4800" w:type="dxa"/>
            <w:vAlign w:val="bottom"/>
            <w:gridSpan w:val="3"/>
            <w:vMerge w:val="restart"/>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Vested Stock</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800" w:type="dxa"/>
            <w:vAlign w:val="bottom"/>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0033A0"/>
              </w:rPr>
              <w:t>7</w:t>
            </w:r>
          </w:p>
        </w:tc>
        <w:tc>
          <w:tcPr>
            <w:tcW w:w="500" w:type="dxa"/>
            <w:vAlign w:val="bottom"/>
            <w:gridSpan w:val="2"/>
          </w:tcPr>
          <w:p>
            <w:pPr>
              <w:ind w:left="12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2020</w:t>
              </w:r>
            </w:hyperlink>
          </w:p>
        </w:tc>
        <w:tc>
          <w:tcPr>
            <w:tcW w:w="4800" w:type="dxa"/>
            <w:vAlign w:val="bottom"/>
            <w:gridSpan w:val="3"/>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Pension Benefits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rPr>
              <w:t>7</w:t>
            </w: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Retirement Plans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43"/>
        </w:trPr>
        <w:tc>
          <w:tcPr>
            <w:tcW w:w="280" w:type="dxa"/>
            <w:vAlign w:val="bottom"/>
            <w:vMerge w:val="continue"/>
          </w:tcPr>
          <w:p>
            <w:pPr>
              <w:spacing w:after="0"/>
              <w:rPr>
                <w:sz w:val="12"/>
                <w:szCs w:val="12"/>
                <w:color w:val="auto"/>
              </w:rPr>
            </w:pPr>
          </w:p>
        </w:tc>
        <w:tc>
          <w:tcPr>
            <w:tcW w:w="500" w:type="dxa"/>
            <w:vAlign w:val="bottom"/>
            <w:gridSpan w:val="2"/>
            <w:vMerge w:val="restart"/>
          </w:tcPr>
          <w:p>
            <w:pPr>
              <w:ind w:left="120"/>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2020</w:t>
              </w:r>
            </w:hyperlink>
          </w:p>
        </w:tc>
        <w:tc>
          <w:tcPr>
            <w:tcW w:w="4800" w:type="dxa"/>
            <w:vAlign w:val="bottom"/>
            <w:gridSpan w:val="3"/>
            <w:vMerge w:val="restart"/>
          </w:tcPr>
          <w:p>
            <w:pPr>
              <w:ind w:left="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Nonqualified Deferred Compensation</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800" w:type="dxa"/>
            <w:vAlign w:val="bottom"/>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0033A0"/>
              </w:rPr>
              <w:t>8</w:t>
            </w: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Nonqualified Deferred Compensation Plan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Potential Payments Upon Termination or Change in Control</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rPr>
              <w:t>9</w:t>
            </w: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Summary of Various Plans and Arrangements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5300" w:type="dxa"/>
            <w:vAlign w:val="bottom"/>
            <w:gridSpan w:val="5"/>
            <w:vMerge w:val="restart"/>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CEO Pay Ratio</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86"/>
        </w:trPr>
        <w:tc>
          <w:tcPr>
            <w:tcW w:w="280" w:type="dxa"/>
            <w:vAlign w:val="bottom"/>
          </w:tcPr>
          <w:p>
            <w:pPr>
              <w:spacing w:after="0"/>
              <w:rPr>
                <w:sz w:val="7"/>
                <w:szCs w:val="7"/>
                <w:color w:val="auto"/>
              </w:rPr>
            </w:pPr>
          </w:p>
        </w:tc>
        <w:tc>
          <w:tcPr>
            <w:tcW w:w="5300" w:type="dxa"/>
            <w:vAlign w:val="bottom"/>
            <w:gridSpan w:val="5"/>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gridSpan w:val="2"/>
          </w:tcPr>
          <w:p>
            <w:pPr>
              <w:ind w:left="12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2020</w:t>
              </w:r>
            </w:hyperlink>
          </w:p>
        </w:tc>
        <w:tc>
          <w:tcPr>
            <w:tcW w:w="4800" w:type="dxa"/>
            <w:vAlign w:val="bottom"/>
            <w:gridSpan w:val="3"/>
          </w:tcPr>
          <w:p>
            <w:pPr>
              <w:ind w:left="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0033A0"/>
                <w:w w:val="78"/>
              </w:rPr>
              <w:t>13</w:t>
            </w: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Director Compensation Program</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w w:val="78"/>
              </w:rPr>
              <w:t>15</w:t>
            </w: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Cash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16"/>
        </w:trPr>
        <w:tc>
          <w:tcPr>
            <w:tcW w:w="280" w:type="dxa"/>
            <w:vAlign w:val="bottom"/>
            <w:vMerge w:val="continue"/>
          </w:tcPr>
          <w:p>
            <w:pPr>
              <w:spacing w:after="0"/>
              <w:rPr>
                <w:sz w:val="10"/>
                <w:szCs w:val="10"/>
                <w:color w:val="auto"/>
              </w:rPr>
            </w:pPr>
          </w:p>
        </w:tc>
        <w:tc>
          <w:tcPr>
            <w:tcW w:w="5300" w:type="dxa"/>
            <w:vAlign w:val="bottom"/>
            <w:gridSpan w:val="5"/>
            <w:vMerge w:val="restart"/>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Equity Compensation</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0"/>
        </w:trPr>
        <w:tc>
          <w:tcPr>
            <w:tcW w:w="280" w:type="dxa"/>
            <w:vAlign w:val="bottom"/>
          </w:tcPr>
          <w:p>
            <w:pPr>
              <w:spacing w:after="0"/>
              <w:rPr>
                <w:sz w:val="8"/>
                <w:szCs w:val="8"/>
                <w:color w:val="auto"/>
              </w:rPr>
            </w:pPr>
          </w:p>
        </w:tc>
        <w:tc>
          <w:tcPr>
            <w:tcW w:w="5300" w:type="dxa"/>
            <w:vAlign w:val="bottom"/>
            <w:gridSpan w:val="5"/>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0033A0"/>
                <w:w w:val="78"/>
              </w:rPr>
              <w:t>16</w:t>
            </w:r>
          </w:p>
        </w:tc>
        <w:tc>
          <w:tcPr>
            <w:tcW w:w="5300" w:type="dxa"/>
            <w:vAlign w:val="bottom"/>
            <w:gridSpan w:val="5"/>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Other Benefits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w w:val="78"/>
              </w:rPr>
              <w:t>17</w:t>
            </w:r>
          </w:p>
        </w:tc>
        <w:tc>
          <w:tcPr>
            <w:tcW w:w="500" w:type="dxa"/>
            <w:vAlign w:val="bottom"/>
            <w:gridSpan w:val="2"/>
          </w:tcPr>
          <w:p>
            <w:pPr>
              <w:ind w:left="12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1997</w:t>
              </w:r>
            </w:hyperlink>
          </w:p>
        </w:tc>
        <w:tc>
          <w:tcPr>
            <w:tcW w:w="4800" w:type="dxa"/>
            <w:vAlign w:val="bottom"/>
            <w:gridSpan w:val="3"/>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Deferred Compensation Plan and Stock Plan for Directors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02"/>
        </w:trPr>
        <w:tc>
          <w:tcPr>
            <w:tcW w:w="2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3540" w:type="dxa"/>
            <w:vAlign w:val="bottom"/>
            <w:gridSpan w:val="3"/>
            <w:vMerge w:val="restart"/>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COMPENSATION COMMITTEE INTERLOCKS</w:t>
              </w:r>
            </w:hyperlink>
          </w:p>
        </w:tc>
        <w:tc>
          <w:tcPr>
            <w:tcW w:w="164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3540" w:type="dxa"/>
            <w:vAlign w:val="bottom"/>
            <w:tcBorders>
              <w:bottom w:val="single" w:sz="8" w:color="0000EE"/>
            </w:tcBorders>
            <w:gridSpan w:val="3"/>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w w:val="78"/>
              </w:rPr>
              <w:t>19</w:t>
            </w:r>
          </w:p>
        </w:tc>
        <w:tc>
          <w:tcPr>
            <w:tcW w:w="120" w:type="dxa"/>
            <w:vAlign w:val="bottom"/>
          </w:tcPr>
          <w:p>
            <w:pPr>
              <w:spacing w:after="0"/>
              <w:rPr>
                <w:sz w:val="15"/>
                <w:szCs w:val="15"/>
                <w:color w:val="auto"/>
              </w:rPr>
            </w:pPr>
          </w:p>
        </w:tc>
        <w:tc>
          <w:tcPr>
            <w:tcW w:w="5180" w:type="dxa"/>
            <w:vAlign w:val="bottom"/>
            <w:gridSpan w:val="4"/>
          </w:tcPr>
          <w:p>
            <w:pPr>
              <w:ind w:left="120"/>
              <w:spacing w:after="0" w:line="183"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AND INSIDER PARTICIPATION</w:t>
              </w:r>
            </w:hyperlink>
          </w:p>
        </w:tc>
        <w:tc>
          <w:tcPr>
            <w:tcW w:w="320" w:type="dxa"/>
            <w:vAlign w:val="bottom"/>
          </w:tcPr>
          <w:p>
            <w:pPr>
              <w:jc w:val="right"/>
              <w:spacing w:after="0" w:line="183" w:lineRule="exact"/>
              <w:rPr>
                <w:sz w:val="20"/>
                <w:szCs w:val="20"/>
                <w:color w:val="auto"/>
              </w:rPr>
            </w:pPr>
            <w:r>
              <w:rPr>
                <w:rFonts w:ascii="Arial" w:cs="Arial" w:eastAsia="Arial" w:hAnsi="Arial"/>
                <w:sz w:val="16"/>
                <w:szCs w:val="16"/>
                <w:b w:val="1"/>
                <w:bCs w:val="1"/>
                <w:color w:val="0033A0"/>
              </w:rPr>
              <w:t>58</w:t>
            </w: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EE"/>
              <w:bottom w:val="single" w:sz="8" w:color="0033A0"/>
            </w:tcBorders>
          </w:tcPr>
          <w:p>
            <w:pPr>
              <w:spacing w:after="0" w:line="20" w:lineRule="exact"/>
              <w:rPr>
                <w:sz w:val="1"/>
                <w:szCs w:val="1"/>
                <w:color w:val="auto"/>
              </w:rPr>
            </w:pPr>
          </w:p>
        </w:tc>
        <w:tc>
          <w:tcPr>
            <w:tcW w:w="2120" w:type="dxa"/>
            <w:vAlign w:val="bottom"/>
            <w:tcBorders>
              <w:top w:val="single" w:sz="8" w:color="0000EE"/>
              <w:bottom w:val="single" w:sz="8" w:color="0033A0"/>
            </w:tcBorders>
          </w:tcPr>
          <w:p>
            <w:pPr>
              <w:spacing w:after="0" w:line="20" w:lineRule="exact"/>
              <w:rPr>
                <w:sz w:val="1"/>
                <w:szCs w:val="1"/>
                <w:color w:val="auto"/>
              </w:rPr>
            </w:pPr>
          </w:p>
        </w:tc>
        <w:tc>
          <w:tcPr>
            <w:tcW w:w="1040" w:type="dxa"/>
            <w:vAlign w:val="bottom"/>
            <w:tcBorders>
              <w:bottom w:val="single" w:sz="8" w:color="0033A0"/>
            </w:tcBorders>
          </w:tcPr>
          <w:p>
            <w:pPr>
              <w:spacing w:after="0" w:line="20" w:lineRule="exact"/>
              <w:rPr>
                <w:sz w:val="1"/>
                <w:szCs w:val="1"/>
                <w:color w:val="auto"/>
              </w:rPr>
            </w:pPr>
          </w:p>
        </w:tc>
        <w:tc>
          <w:tcPr>
            <w:tcW w:w="1640" w:type="dxa"/>
            <w:vAlign w:val="bottom"/>
            <w:tcBorders>
              <w:bottom w:val="single" w:sz="8" w:color="0033A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280" w:type="dxa"/>
            <w:vAlign w:val="bottom"/>
            <w:vMerge w:val="continue"/>
          </w:tcPr>
          <w:p>
            <w:pPr>
              <w:spacing w:after="0"/>
              <w:rPr>
                <w:sz w:val="8"/>
                <w:szCs w:val="8"/>
                <w:color w:val="auto"/>
              </w:rPr>
            </w:pPr>
          </w:p>
        </w:tc>
        <w:tc>
          <w:tcPr>
            <w:tcW w:w="5300" w:type="dxa"/>
            <w:vAlign w:val="bottom"/>
            <w:gridSpan w:val="5"/>
            <w:vMerge w:val="restart"/>
          </w:tcPr>
          <w:p>
            <w:pPr>
              <w:ind w:left="120"/>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RELATED PARTY TRANSACTIONS</w:t>
              </w:r>
            </w:hyperlink>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0033A0"/>
              </w:rPr>
              <w:t>58</w:t>
            </w:r>
          </w:p>
        </w:tc>
        <w:tc>
          <w:tcPr>
            <w:tcW w:w="0" w:type="dxa"/>
            <w:vAlign w:val="bottom"/>
          </w:tcPr>
          <w:p>
            <w:pPr>
              <w:spacing w:after="0"/>
              <w:rPr>
                <w:sz w:val="1"/>
                <w:szCs w:val="1"/>
                <w:color w:val="auto"/>
              </w:rPr>
            </w:pPr>
          </w:p>
        </w:tc>
      </w:tr>
      <w:tr>
        <w:trPr>
          <w:trHeight w:val="205"/>
        </w:trPr>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33A0"/>
                <w:w w:val="78"/>
              </w:rPr>
              <w:t>23</w:t>
            </w:r>
          </w:p>
        </w:tc>
        <w:tc>
          <w:tcPr>
            <w:tcW w:w="5300" w:type="dxa"/>
            <w:vAlign w:val="bottom"/>
            <w:gridSpan w:val="5"/>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0033A0"/>
            </w:tcBorders>
          </w:tcPr>
          <w:p>
            <w:pPr>
              <w:spacing w:after="0"/>
              <w:rPr>
                <w:sz w:val="8"/>
                <w:szCs w:val="8"/>
                <w:color w:val="auto"/>
              </w:rPr>
            </w:pPr>
          </w:p>
        </w:tc>
        <w:tc>
          <w:tcPr>
            <w:tcW w:w="2120" w:type="dxa"/>
            <w:vAlign w:val="bottom"/>
            <w:tcBorders>
              <w:top w:val="single" w:sz="8" w:color="0033A0"/>
            </w:tcBorders>
          </w:tcPr>
          <w:p>
            <w:pPr>
              <w:spacing w:after="0"/>
              <w:rPr>
                <w:sz w:val="8"/>
                <w:szCs w:val="8"/>
                <w:color w:val="auto"/>
              </w:rPr>
            </w:pPr>
          </w:p>
        </w:tc>
        <w:tc>
          <w:tcPr>
            <w:tcW w:w="1040" w:type="dxa"/>
            <w:vAlign w:val="bottom"/>
            <w:tcBorders>
              <w:top w:val="single" w:sz="8" w:color="0033A0"/>
            </w:tcBorders>
          </w:tcPr>
          <w:p>
            <w:pPr>
              <w:spacing w:after="0"/>
              <w:rPr>
                <w:sz w:val="8"/>
                <w:szCs w:val="8"/>
                <w:color w:val="auto"/>
              </w:rPr>
            </w:pPr>
          </w:p>
        </w:tc>
        <w:tc>
          <w:tcPr>
            <w:tcW w:w="1640" w:type="dxa"/>
            <w:vAlign w:val="bottom"/>
            <w:tcBorders>
              <w:top w:val="single" w:sz="8" w:color="0033A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center"/>
        <w:ind w:right="220"/>
        <w:spacing w:after="0" w:line="183" w:lineRule="auto"/>
        <w:rPr>
          <w:rFonts w:ascii="Arial" w:cs="Arial" w:eastAsia="Arial" w:hAnsi="Arial"/>
          <w:sz w:val="15"/>
          <w:szCs w:val="15"/>
          <w:b w:val="1"/>
          <w:bCs w:val="1"/>
          <w:u w:val="single" w:color="auto"/>
          <w:color w:val="0000EE"/>
        </w:rPr>
      </w:pPr>
      <w:hyperlink w:anchor="page60">
        <w:r>
          <w:rPr>
            <w:rFonts w:ascii="Arial" w:cs="Arial" w:eastAsia="Arial" w:hAnsi="Arial"/>
            <w:sz w:val="15"/>
            <w:szCs w:val="15"/>
            <w:b w:val="1"/>
            <w:bCs w:val="1"/>
            <w:u w:val="single" w:color="auto"/>
            <w:color w:val="0000EE"/>
          </w:rPr>
          <w:t>PROPOSAL 2 – TO RATIFY DELOITTE &amp; TOUCHE LLC AS THE</w:t>
        </w:r>
      </w:hyperlink>
    </w:p>
    <w:p>
      <w:pPr>
        <w:ind w:left="560" w:hanging="539"/>
        <w:spacing w:after="0" w:line="184" w:lineRule="auto"/>
        <w:tabs>
          <w:tab w:leader="none" w:pos="560" w:val="left"/>
        </w:tabs>
        <w:numPr>
          <w:ilvl w:val="0"/>
          <w:numId w:val="6"/>
        </w:numPr>
        <w:rPr>
          <w:rFonts w:ascii="Arial" w:cs="Arial" w:eastAsia="Arial" w:hAnsi="Arial"/>
          <w:sz w:val="16"/>
          <w:szCs w:val="16"/>
          <w:b w:val="1"/>
          <w:bCs w:val="1"/>
          <w:u w:val="single" w:color="auto"/>
          <w:color w:val="0000EE"/>
        </w:rPr>
      </w:pPr>
      <w:hyperlink w:anchor="page60">
        <w:r>
          <w:rPr>
            <w:rFonts w:ascii="Arial" w:cs="Arial" w:eastAsia="Arial" w:hAnsi="Arial"/>
            <w:sz w:val="16"/>
            <w:szCs w:val="16"/>
            <w:b w:val="1"/>
            <w:bCs w:val="1"/>
            <w:u w:val="single" w:color="auto"/>
            <w:color w:val="0000EE"/>
          </w:rPr>
          <w:t>COMPANY’S INDEPENDENT REGISTERED PUBLIC</w:t>
        </w:r>
      </w:hyperlink>
    </w:p>
    <w:tbl>
      <w:tblPr>
        <w:tblLayout w:type="fixed"/>
        <w:tblInd w:w="420" w:type="dxa"/>
        <w:tblCellMar>
          <w:top w:w="0" w:type="dxa"/>
          <w:left w:w="0" w:type="dxa"/>
          <w:bottom w:w="0" w:type="dxa"/>
          <w:right w:w="0" w:type="dxa"/>
        </w:tblCellMar>
      </w:tblPr>
      <w:tr>
        <w:trPr>
          <w:trHeight w:val="168"/>
        </w:trPr>
        <w:tc>
          <w:tcPr>
            <w:tcW w:w="140" w:type="dxa"/>
            <w:vAlign w:val="bottom"/>
          </w:tcPr>
          <w:p>
            <w:pPr>
              <w:spacing w:after="0"/>
              <w:rPr>
                <w:sz w:val="14"/>
                <w:szCs w:val="14"/>
                <w:color w:val="auto"/>
              </w:rPr>
            </w:pPr>
          </w:p>
        </w:tc>
        <w:tc>
          <w:tcPr>
            <w:tcW w:w="2340" w:type="dxa"/>
            <w:vAlign w:val="bottom"/>
            <w:tcBorders>
              <w:bottom w:val="single" w:sz="8" w:color="0000EE"/>
            </w:tcBorders>
          </w:tcPr>
          <w:p>
            <w:pPr>
              <w:spacing w:after="0" w:line="168" w:lineRule="exact"/>
              <w:rPr>
                <w:rFonts w:ascii="Arial" w:cs="Arial" w:eastAsia="Arial" w:hAnsi="Arial"/>
                <w:sz w:val="16"/>
                <w:szCs w:val="16"/>
                <w:b w:val="1"/>
                <w:bCs w:val="1"/>
                <w:color w:val="0000EE"/>
              </w:rPr>
            </w:pPr>
            <w:hyperlink w:anchor="page60">
              <w:r>
                <w:rPr>
                  <w:rFonts w:ascii="Arial" w:cs="Arial" w:eastAsia="Arial" w:hAnsi="Arial"/>
                  <w:sz w:val="16"/>
                  <w:szCs w:val="16"/>
                  <w:b w:val="1"/>
                  <w:bCs w:val="1"/>
                  <w:color w:val="0000EE"/>
                </w:rPr>
                <w:t>ACCOUNTING FIRM FOR 2021</w:t>
              </w:r>
            </w:hyperlink>
          </w:p>
        </w:tc>
        <w:tc>
          <w:tcPr>
            <w:tcW w:w="302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0033A0"/>
              </w:rPr>
              <w:t>60</w:t>
            </w:r>
          </w:p>
        </w:tc>
      </w:tr>
      <w:tr>
        <w:trPr>
          <w:trHeight w:val="20"/>
        </w:trPr>
        <w:tc>
          <w:tcPr>
            <w:tcW w:w="140" w:type="dxa"/>
            <w:vAlign w:val="bottom"/>
            <w:tcBorders>
              <w:bottom w:val="single" w:sz="8" w:color="0033A0"/>
            </w:tcBorders>
          </w:tcPr>
          <w:p>
            <w:pPr>
              <w:spacing w:after="0" w:line="20" w:lineRule="exact"/>
              <w:rPr>
                <w:sz w:val="1"/>
                <w:szCs w:val="1"/>
                <w:color w:val="auto"/>
              </w:rPr>
            </w:pPr>
          </w:p>
        </w:tc>
        <w:tc>
          <w:tcPr>
            <w:tcW w:w="2340" w:type="dxa"/>
            <w:vAlign w:val="bottom"/>
            <w:tcBorders>
              <w:bottom w:val="single" w:sz="8" w:color="0033A0"/>
            </w:tcBorders>
          </w:tcPr>
          <w:p>
            <w:pPr>
              <w:spacing w:after="0" w:line="20" w:lineRule="exact"/>
              <w:rPr>
                <w:sz w:val="1"/>
                <w:szCs w:val="1"/>
                <w:color w:val="auto"/>
              </w:rPr>
            </w:pPr>
          </w:p>
        </w:tc>
        <w:tc>
          <w:tcPr>
            <w:tcW w:w="2700" w:type="dxa"/>
            <w:vAlign w:val="bottom"/>
            <w:tcBorders>
              <w:bottom w:val="single" w:sz="8" w:color="0033A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ind w:left="420" w:hanging="399"/>
        <w:spacing w:after="0" w:line="198" w:lineRule="auto"/>
        <w:tabs>
          <w:tab w:leader="none" w:pos="420" w:val="left"/>
        </w:tabs>
        <w:numPr>
          <w:ilvl w:val="0"/>
          <w:numId w:val="7"/>
        </w:numPr>
        <w:rPr>
          <w:rFonts w:ascii="Arial" w:cs="Arial" w:eastAsia="Arial" w:hAnsi="Arial"/>
          <w:sz w:val="16"/>
          <w:szCs w:val="16"/>
          <w:b w:val="1"/>
          <w:bCs w:val="1"/>
          <w:u w:val="single" w:color="auto"/>
          <w:color w:val="0000EE"/>
        </w:rPr>
      </w:pPr>
      <w:hyperlink w:anchor="page62">
        <w:r>
          <w:rPr>
            <w:rFonts w:ascii="Arial" w:cs="Arial" w:eastAsia="Arial" w:hAnsi="Arial"/>
            <w:sz w:val="16"/>
            <w:szCs w:val="16"/>
            <w:b w:val="1"/>
            <w:bCs w:val="1"/>
            <w:u w:val="single" w:color="auto"/>
            <w:color w:val="0000EE"/>
          </w:rPr>
          <w:t>PROPOSAL 3 – ADVISORY (NON-BINDING) VOTE TO APPROVE</w:t>
        </w:r>
      </w:hyperlink>
    </w:p>
    <w:tbl>
      <w:tblPr>
        <w:tblLayout w:type="fixed"/>
        <w:tblInd w:w="20" w:type="dxa"/>
        <w:tblCellMar>
          <w:top w:w="0" w:type="dxa"/>
          <w:left w:w="0" w:type="dxa"/>
          <w:bottom w:w="0" w:type="dxa"/>
          <w:right w:w="0" w:type="dxa"/>
        </w:tblCellMar>
      </w:tblPr>
      <w:tr>
        <w:trPr>
          <w:trHeight w:val="169"/>
        </w:trPr>
        <w:tc>
          <w:tcPr>
            <w:tcW w:w="4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0033A0"/>
                <w:w w:val="78"/>
              </w:rPr>
              <w:t>29</w:t>
            </w:r>
          </w:p>
        </w:tc>
        <w:tc>
          <w:tcPr>
            <w:tcW w:w="140" w:type="dxa"/>
            <w:vAlign w:val="bottom"/>
            <w:vMerge w:val="restart"/>
          </w:tcPr>
          <w:p>
            <w:pPr>
              <w:spacing w:after="0"/>
              <w:rPr>
                <w:sz w:val="14"/>
                <w:szCs w:val="14"/>
                <w:color w:val="auto"/>
              </w:rPr>
            </w:pPr>
          </w:p>
        </w:tc>
        <w:tc>
          <w:tcPr>
            <w:tcW w:w="3740" w:type="dxa"/>
            <w:vAlign w:val="bottom"/>
            <w:tcBorders>
              <w:bottom w:val="single" w:sz="8" w:color="0000EE"/>
            </w:tcBorders>
          </w:tcPr>
          <w:p>
            <w:pPr>
              <w:spacing w:after="0" w:line="149" w:lineRule="exact"/>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NAMED EXECUTIVE OFFICER COMPENSATION</w:t>
              </w:r>
            </w:hyperlink>
          </w:p>
        </w:tc>
        <w:tc>
          <w:tcPr>
            <w:tcW w:w="1300" w:type="dxa"/>
            <w:vAlign w:val="bottom"/>
            <w:vMerge w:val="restart"/>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0033A0"/>
              </w:rPr>
              <w:t>62</w:t>
            </w: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140" w:type="dxa"/>
            <w:vAlign w:val="bottom"/>
            <w:tcBorders>
              <w:bottom w:val="single" w:sz="8" w:color="0033A0"/>
            </w:tcBorders>
            <w:vMerge w:val="continue"/>
          </w:tcPr>
          <w:p>
            <w:pPr>
              <w:spacing w:after="0" w:line="20" w:lineRule="exact"/>
              <w:rPr>
                <w:sz w:val="1"/>
                <w:szCs w:val="1"/>
                <w:color w:val="auto"/>
              </w:rPr>
            </w:pPr>
          </w:p>
        </w:tc>
        <w:tc>
          <w:tcPr>
            <w:tcW w:w="3740" w:type="dxa"/>
            <w:vAlign w:val="bottom"/>
            <w:tcBorders>
              <w:bottom w:val="single" w:sz="8" w:color="0033A0"/>
            </w:tcBorders>
          </w:tcPr>
          <w:p>
            <w:pPr>
              <w:spacing w:after="0" w:line="20" w:lineRule="exact"/>
              <w:rPr>
                <w:sz w:val="1"/>
                <w:szCs w:val="1"/>
                <w:color w:val="auto"/>
              </w:rPr>
            </w:pPr>
          </w:p>
        </w:tc>
        <w:tc>
          <w:tcPr>
            <w:tcW w:w="1300" w:type="dxa"/>
            <w:vAlign w:val="bottom"/>
            <w:tcBorders>
              <w:bottom w:val="single" w:sz="8" w:color="0033A0"/>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20" w:hanging="399"/>
        <w:spacing w:after="0" w:line="198" w:lineRule="auto"/>
        <w:tabs>
          <w:tab w:leader="none" w:pos="420" w:val="left"/>
        </w:tabs>
        <w:numPr>
          <w:ilvl w:val="0"/>
          <w:numId w:val="8"/>
        </w:numPr>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PROPOSAL 4 – AMENDMENT TO THE E.W. SCRIPPS COMPANY</w:t>
        </w:r>
      </w:hyperlink>
    </w:p>
    <w:tbl>
      <w:tblPr>
        <w:tblLayout w:type="fixed"/>
        <w:tblInd w:w="0" w:type="dxa"/>
        <w:tblCellMar>
          <w:top w:w="0" w:type="dxa"/>
          <w:left w:w="0" w:type="dxa"/>
          <w:bottom w:w="0" w:type="dxa"/>
          <w:right w:w="0" w:type="dxa"/>
        </w:tblCellMar>
      </w:tblPr>
      <w:tr>
        <w:trPr>
          <w:trHeight w:val="169"/>
        </w:trPr>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40" w:type="dxa"/>
            <w:vAlign w:val="bottom"/>
            <w:gridSpan w:val="2"/>
          </w:tcPr>
          <w:p>
            <w:pPr>
              <w:spacing w:after="0" w:line="169" w:lineRule="exact"/>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2010 LONG-TERM INCENTIVE PLAN</w:t>
              </w:r>
            </w:hyperlink>
          </w:p>
        </w:tc>
        <w:tc>
          <w:tcPr>
            <w:tcW w:w="320" w:type="dxa"/>
            <w:vAlign w:val="bottom"/>
          </w:tcPr>
          <w:p>
            <w:pPr>
              <w:jc w:val="right"/>
              <w:spacing w:after="0" w:line="169" w:lineRule="exact"/>
              <w:rPr>
                <w:sz w:val="20"/>
                <w:szCs w:val="20"/>
                <w:color w:val="auto"/>
              </w:rPr>
            </w:pPr>
            <w:r>
              <w:rPr>
                <w:rFonts w:ascii="Arial" w:cs="Arial" w:eastAsia="Arial" w:hAnsi="Arial"/>
                <w:sz w:val="16"/>
                <w:szCs w:val="16"/>
                <w:b w:val="1"/>
                <w:bCs w:val="1"/>
                <w:color w:val="0033A0"/>
              </w:rPr>
              <w:t>63</w:t>
            </w: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33A0"/>
            </w:tcBorders>
          </w:tcPr>
          <w:p>
            <w:pPr>
              <w:spacing w:after="0" w:line="20" w:lineRule="exact"/>
              <w:rPr>
                <w:sz w:val="1"/>
                <w:szCs w:val="1"/>
                <w:color w:val="auto"/>
              </w:rPr>
            </w:pPr>
          </w:p>
        </w:tc>
        <w:tc>
          <w:tcPr>
            <w:tcW w:w="2820" w:type="dxa"/>
            <w:vAlign w:val="bottom"/>
            <w:tcBorders>
              <w:top w:val="single" w:sz="8" w:color="0000EE"/>
              <w:bottom w:val="single" w:sz="8" w:color="0033A0"/>
            </w:tcBorders>
          </w:tcPr>
          <w:p>
            <w:pPr>
              <w:spacing w:after="0" w:line="20" w:lineRule="exact"/>
              <w:rPr>
                <w:sz w:val="1"/>
                <w:szCs w:val="1"/>
                <w:color w:val="auto"/>
              </w:rPr>
            </w:pPr>
          </w:p>
        </w:tc>
        <w:tc>
          <w:tcPr>
            <w:tcW w:w="2220" w:type="dxa"/>
            <w:vAlign w:val="bottom"/>
            <w:tcBorders>
              <w:bottom w:val="single" w:sz="8" w:color="0033A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00" w:type="dxa"/>
            <w:vAlign w:val="bottom"/>
            <w:vMerge w:val="continue"/>
          </w:tcPr>
          <w:p>
            <w:pPr>
              <w:spacing w:after="0"/>
              <w:rPr>
                <w:sz w:val="12"/>
                <w:szCs w:val="12"/>
                <w:color w:val="auto"/>
              </w:rPr>
            </w:pPr>
          </w:p>
        </w:tc>
        <w:tc>
          <w:tcPr>
            <w:tcW w:w="120" w:type="dxa"/>
            <w:vAlign w:val="bottom"/>
            <w:vMerge w:val="restart"/>
          </w:tcPr>
          <w:p>
            <w:pPr>
              <w:spacing w:after="0"/>
              <w:rPr>
                <w:sz w:val="12"/>
                <w:szCs w:val="12"/>
                <w:color w:val="auto"/>
              </w:rPr>
            </w:pPr>
          </w:p>
        </w:tc>
        <w:tc>
          <w:tcPr>
            <w:tcW w:w="5180" w:type="dxa"/>
            <w:vAlign w:val="bottom"/>
            <w:gridSpan w:val="3"/>
            <w:vMerge w:val="restart"/>
          </w:tcPr>
          <w:p>
            <w:pPr>
              <w:spacing w:after="0"/>
              <w:rPr>
                <w:rFonts w:ascii="Arial" w:cs="Arial" w:eastAsia="Arial" w:hAnsi="Arial"/>
                <w:sz w:val="16"/>
                <w:szCs w:val="16"/>
                <w:b w:val="1"/>
                <w:bCs w:val="1"/>
                <w:u w:val="single" w:color="auto"/>
                <w:color w:val="0000EE"/>
              </w:rPr>
            </w:pPr>
            <w:hyperlink w:anchor="page74">
              <w:r>
                <w:rPr>
                  <w:rFonts w:ascii="Arial" w:cs="Arial" w:eastAsia="Arial" w:hAnsi="Arial"/>
                  <w:sz w:val="16"/>
                  <w:szCs w:val="16"/>
                  <w:b w:val="1"/>
                  <w:bCs w:val="1"/>
                  <w:u w:val="single" w:color="auto"/>
                  <w:color w:val="0000EE"/>
                </w:rPr>
                <w:t>DELINQUENT SECTION 16 REPORTS</w:t>
              </w:r>
            </w:hyperlink>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0033A0"/>
              </w:rPr>
              <w:t>74</w:t>
            </w:r>
          </w:p>
        </w:tc>
        <w:tc>
          <w:tcPr>
            <w:tcW w:w="0" w:type="dxa"/>
            <w:vAlign w:val="bottom"/>
          </w:tcPr>
          <w:p>
            <w:pPr>
              <w:spacing w:after="0"/>
              <w:rPr>
                <w:sz w:val="1"/>
                <w:szCs w:val="1"/>
                <w:color w:val="auto"/>
              </w:rPr>
            </w:pPr>
          </w:p>
        </w:tc>
      </w:tr>
      <w:tr>
        <w:trPr>
          <w:trHeight w:val="165"/>
        </w:trPr>
        <w:tc>
          <w:tcPr>
            <w:tcW w:w="300" w:type="dxa"/>
            <w:vAlign w:val="bottom"/>
          </w:tcPr>
          <w:p>
            <w:pPr>
              <w:jc w:val="right"/>
              <w:ind w:right="30"/>
              <w:spacing w:after="0" w:line="157" w:lineRule="exact"/>
              <w:rPr>
                <w:sz w:val="20"/>
                <w:szCs w:val="20"/>
                <w:color w:val="auto"/>
              </w:rPr>
            </w:pPr>
            <w:r>
              <w:rPr>
                <w:rFonts w:ascii="Arial" w:cs="Arial" w:eastAsia="Arial" w:hAnsi="Arial"/>
                <w:sz w:val="18"/>
                <w:szCs w:val="18"/>
                <w:color w:val="auto"/>
                <w:w w:val="79"/>
              </w:rPr>
              <w:t>31</w:t>
            </w:r>
          </w:p>
        </w:tc>
        <w:tc>
          <w:tcPr>
            <w:tcW w:w="120" w:type="dxa"/>
            <w:vAlign w:val="bottom"/>
            <w:vMerge w:val="continue"/>
          </w:tcPr>
          <w:p>
            <w:pPr>
              <w:spacing w:after="0"/>
              <w:rPr>
                <w:sz w:val="13"/>
                <w:szCs w:val="13"/>
                <w:color w:val="auto"/>
              </w:rPr>
            </w:pPr>
          </w:p>
        </w:tc>
        <w:tc>
          <w:tcPr>
            <w:tcW w:w="5180" w:type="dxa"/>
            <w:vAlign w:val="bottom"/>
            <w:tcBorders>
              <w:bottom w:val="single" w:sz="8" w:color="0033A0"/>
            </w:tcBorders>
            <w:gridSpan w:val="3"/>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20" w:hanging="417"/>
        <w:spacing w:after="0" w:line="181" w:lineRule="auto"/>
        <w:tabs>
          <w:tab w:leader="none" w:pos="420" w:val="left"/>
        </w:tabs>
        <w:numPr>
          <w:ilvl w:val="0"/>
          <w:numId w:val="9"/>
        </w:numPr>
        <w:rPr>
          <w:rFonts w:ascii="Arial" w:cs="Arial" w:eastAsia="Arial" w:hAnsi="Arial"/>
          <w:sz w:val="15"/>
          <w:szCs w:val="15"/>
          <w:b w:val="1"/>
          <w:bCs w:val="1"/>
          <w:color w:val="0000EE"/>
        </w:rPr>
      </w:pPr>
      <w:hyperlink w:anchor="page74">
        <w:r>
          <w:rPr>
            <w:rFonts w:ascii="Arial" w:cs="Arial" w:eastAsia="Arial" w:hAnsi="Arial"/>
            <w:sz w:val="15"/>
            <w:szCs w:val="15"/>
            <w:b w:val="1"/>
            <w:bCs w:val="1"/>
            <w:color w:val="0000EE"/>
          </w:rPr>
          <w:t>SHAREHOLDER PROPOSALS FOR 2021</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33</w:t>
            </w:r>
          </w:p>
        </w:tc>
        <w:tc>
          <w:tcPr>
            <w:tcW w:w="120" w:type="dxa"/>
            <w:vAlign w:val="bottom"/>
          </w:tcPr>
          <w:p>
            <w:pPr>
              <w:spacing w:after="0"/>
              <w:rPr>
                <w:sz w:val="15"/>
                <w:szCs w:val="15"/>
                <w:color w:val="auto"/>
              </w:rPr>
            </w:pPr>
          </w:p>
        </w:tc>
        <w:tc>
          <w:tcPr>
            <w:tcW w:w="3020" w:type="dxa"/>
            <w:vAlign w:val="bottom"/>
            <w:tcBorders>
              <w:top w:val="single" w:sz="8" w:color="0000EE"/>
            </w:tcBorders>
            <w:gridSpan w:val="2"/>
          </w:tcPr>
          <w:p>
            <w:pPr>
              <w:ind w:left="120"/>
              <w:spacing w:after="0" w:line="183" w:lineRule="exact"/>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ANNUAL MEETING</w:t>
              </w:r>
            </w:hyperlink>
          </w:p>
        </w:tc>
        <w:tc>
          <w:tcPr>
            <w:tcW w:w="216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6"/>
                <w:szCs w:val="16"/>
                <w:b w:val="1"/>
                <w:bCs w:val="1"/>
                <w:color w:val="0033A0"/>
              </w:rPr>
              <w:t>74</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30"/>
              <w:spacing w:after="0" w:line="195" w:lineRule="exact"/>
              <w:rPr>
                <w:sz w:val="20"/>
                <w:szCs w:val="20"/>
                <w:color w:val="auto"/>
              </w:rPr>
            </w:pPr>
            <w:r>
              <w:rPr>
                <w:rFonts w:ascii="Arial" w:cs="Arial" w:eastAsia="Arial" w:hAnsi="Arial"/>
                <w:sz w:val="18"/>
                <w:szCs w:val="18"/>
                <w:color w:val="auto"/>
                <w:w w:val="79"/>
              </w:rPr>
              <w:t>34</w:t>
            </w:r>
          </w:p>
        </w:tc>
        <w:tc>
          <w:tcPr>
            <w:tcW w:w="120" w:type="dxa"/>
            <w:vAlign w:val="bottom"/>
          </w:tcPr>
          <w:p>
            <w:pPr>
              <w:spacing w:after="0" w:line="20" w:lineRule="exact"/>
              <w:rPr>
                <w:sz w:val="1"/>
                <w:szCs w:val="1"/>
                <w:color w:val="auto"/>
              </w:rPr>
            </w:pPr>
          </w:p>
        </w:tc>
        <w:tc>
          <w:tcPr>
            <w:tcW w:w="1640" w:type="dxa"/>
            <w:vAlign w:val="bottom"/>
            <w:tcBorders>
              <w:top w:val="single" w:sz="8" w:color="0000EE"/>
              <w:bottom w:val="single" w:sz="8" w:color="0033A0"/>
            </w:tcBorders>
          </w:tcPr>
          <w:p>
            <w:pPr>
              <w:spacing w:after="0" w:line="20" w:lineRule="exact"/>
              <w:rPr>
                <w:sz w:val="1"/>
                <w:szCs w:val="1"/>
                <w:color w:val="auto"/>
              </w:rPr>
            </w:pPr>
          </w:p>
        </w:tc>
        <w:tc>
          <w:tcPr>
            <w:tcW w:w="1380" w:type="dxa"/>
            <w:vAlign w:val="bottom"/>
            <w:tcBorders>
              <w:bottom w:val="single" w:sz="8" w:color="0033A0"/>
            </w:tcBorders>
          </w:tcPr>
          <w:p>
            <w:pPr>
              <w:spacing w:after="0" w:line="20" w:lineRule="exact"/>
              <w:rPr>
                <w:sz w:val="1"/>
                <w:szCs w:val="1"/>
                <w:color w:val="auto"/>
              </w:rPr>
            </w:pPr>
          </w:p>
        </w:tc>
        <w:tc>
          <w:tcPr>
            <w:tcW w:w="2160" w:type="dxa"/>
            <w:vAlign w:val="bottom"/>
            <w:tcBorders>
              <w:bottom w:val="single" w:sz="8" w:color="0033A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00" w:type="dxa"/>
            <w:vAlign w:val="bottom"/>
            <w:vMerge w:val="continue"/>
          </w:tcPr>
          <w:p>
            <w:pPr>
              <w:spacing w:after="0"/>
              <w:rPr>
                <w:sz w:val="13"/>
                <w:szCs w:val="13"/>
                <w:color w:val="auto"/>
              </w:rPr>
            </w:pPr>
          </w:p>
        </w:tc>
        <w:tc>
          <w:tcPr>
            <w:tcW w:w="5300" w:type="dxa"/>
            <w:vAlign w:val="bottom"/>
            <w:gridSpan w:val="4"/>
            <w:vMerge w:val="restart"/>
          </w:tcPr>
          <w:p>
            <w:pPr>
              <w:ind w:left="120"/>
              <w:spacing w:after="0"/>
              <w:rPr>
                <w:rFonts w:ascii="Arial" w:cs="Arial" w:eastAsia="Arial" w:hAnsi="Arial"/>
                <w:sz w:val="16"/>
                <w:szCs w:val="16"/>
                <w:b w:val="1"/>
                <w:bCs w:val="1"/>
                <w:u w:val="single" w:color="auto"/>
                <w:color w:val="0000EE"/>
              </w:rPr>
            </w:pPr>
            <w:hyperlink w:anchor="page74">
              <w:r>
                <w:rPr>
                  <w:rFonts w:ascii="Arial" w:cs="Arial" w:eastAsia="Arial" w:hAnsi="Arial"/>
                  <w:sz w:val="16"/>
                  <w:szCs w:val="16"/>
                  <w:b w:val="1"/>
                  <w:bCs w:val="1"/>
                  <w:u w:val="single" w:color="auto"/>
                  <w:color w:val="0000EE"/>
                </w:rPr>
                <w:t>OTHER MATTERS</w:t>
              </w:r>
            </w:hyperlink>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0033A0"/>
              </w:rPr>
              <w:t>74</w:t>
            </w:r>
          </w:p>
        </w:tc>
        <w:tc>
          <w:tcPr>
            <w:tcW w:w="0" w:type="dxa"/>
            <w:vAlign w:val="bottom"/>
          </w:tcPr>
          <w:p>
            <w:pPr>
              <w:spacing w:after="0"/>
              <w:rPr>
                <w:sz w:val="1"/>
                <w:szCs w:val="1"/>
                <w:color w:val="auto"/>
              </w:rPr>
            </w:pPr>
          </w:p>
        </w:tc>
      </w:tr>
      <w:tr>
        <w:trPr>
          <w:trHeight w:val="146"/>
        </w:trPr>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34</w:t>
            </w:r>
          </w:p>
        </w:tc>
        <w:tc>
          <w:tcPr>
            <w:tcW w:w="5300" w:type="dxa"/>
            <w:vAlign w:val="bottom"/>
            <w:gridSpan w:val="4"/>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Borders>
              <w:top w:val="single" w:sz="8" w:color="0033A0"/>
            </w:tcBorders>
          </w:tcPr>
          <w:p>
            <w:pPr>
              <w:spacing w:after="0"/>
              <w:rPr>
                <w:sz w:val="5"/>
                <w:szCs w:val="5"/>
                <w:color w:val="auto"/>
              </w:rPr>
            </w:pPr>
          </w:p>
        </w:tc>
        <w:tc>
          <w:tcPr>
            <w:tcW w:w="1380" w:type="dxa"/>
            <w:vAlign w:val="bottom"/>
            <w:tcBorders>
              <w:top w:val="single" w:sz="8" w:color="0033A0"/>
            </w:tcBorders>
          </w:tcPr>
          <w:p>
            <w:pPr>
              <w:spacing w:after="0"/>
              <w:rPr>
                <w:sz w:val="5"/>
                <w:szCs w:val="5"/>
                <w:color w:val="auto"/>
              </w:rPr>
            </w:pPr>
          </w:p>
        </w:tc>
        <w:tc>
          <w:tcPr>
            <w:tcW w:w="2160" w:type="dxa"/>
            <w:vAlign w:val="bottom"/>
            <w:tcBorders>
              <w:top w:val="single" w:sz="8" w:color="0033A0"/>
            </w:tcBorders>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20" w:hanging="417"/>
        <w:spacing w:after="0"/>
        <w:tabs>
          <w:tab w:leader="none" w:pos="420" w:val="left"/>
        </w:tabs>
        <w:numPr>
          <w:ilvl w:val="0"/>
          <w:numId w:val="10"/>
        </w:numPr>
        <w:rPr>
          <w:rFonts w:ascii="Arial" w:cs="Arial" w:eastAsia="Arial" w:hAnsi="Arial"/>
          <w:sz w:val="16"/>
          <w:szCs w:val="16"/>
          <w:b w:val="1"/>
          <w:bCs w:val="1"/>
          <w:u w:val="single" w:color="auto"/>
          <w:color w:val="0000EE"/>
        </w:rPr>
      </w:pPr>
      <w:hyperlink w:anchor="page76">
        <w:r>
          <w:rPr>
            <w:rFonts w:ascii="Arial" w:cs="Arial" w:eastAsia="Arial" w:hAnsi="Arial"/>
            <w:sz w:val="16"/>
            <w:szCs w:val="16"/>
            <w:b w:val="1"/>
            <w:bCs w:val="1"/>
            <w:u w:val="single" w:color="auto"/>
            <w:color w:val="0000EE"/>
          </w:rPr>
          <w:t>APPENDIX: THE E.W. SCRIPPS COMPANY 2010 LONG-TERM</w:t>
        </w:r>
      </w:hyperlink>
    </w:p>
    <w:p>
      <w:pPr>
        <w:spacing w:after="0"/>
        <w:tabs>
          <w:tab w:leader="none" w:pos="540" w:val="left"/>
          <w:tab w:leader="none" w:pos="5720" w:val="left"/>
        </w:tabs>
        <w:rPr>
          <w:rFonts w:ascii="Arial" w:cs="Arial" w:eastAsia="Arial" w:hAnsi="Arial"/>
          <w:sz w:val="16"/>
          <w:szCs w:val="16"/>
          <w:b w:val="1"/>
          <w:bCs w:val="1"/>
          <w:color w:val="0000EE"/>
        </w:rPr>
      </w:pPr>
      <w:r>
        <w:rPr>
          <w:rFonts w:ascii="Arial" w:cs="Arial" w:eastAsia="Arial" w:hAnsi="Arial"/>
          <w:sz w:val="18"/>
          <w:szCs w:val="18"/>
          <w:color w:val="auto"/>
        </w:rPr>
        <w:t>37</w:t>
      </w:r>
      <w:r>
        <w:rPr>
          <w:sz w:val="20"/>
          <w:szCs w:val="20"/>
          <w:color w:val="auto"/>
        </w:rPr>
        <w:tab/>
      </w:r>
      <w:hyperlink w:anchor="page76">
        <w:r>
          <w:rPr>
            <w:rFonts w:ascii="Arial" w:cs="Arial" w:eastAsia="Arial" w:hAnsi="Arial"/>
            <w:sz w:val="16"/>
            <w:szCs w:val="16"/>
            <w:b w:val="1"/>
            <w:bCs w:val="1"/>
            <w:u w:val="single" w:color="auto"/>
            <w:color w:val="0000EE"/>
          </w:rPr>
          <w:t>INCENTIVE PLAN</w:t>
        </w:r>
      </w:hyperlink>
      <w:r>
        <w:rPr>
          <w:rFonts w:ascii="Arial" w:cs="Arial" w:eastAsia="Arial" w:hAnsi="Arial"/>
          <w:sz w:val="16"/>
          <w:szCs w:val="16"/>
          <w:b w:val="1"/>
          <w:bCs w:val="1"/>
          <w:color w:val="0000EE"/>
        </w:rPr>
        <w:tab/>
      </w:r>
      <w:r>
        <w:rPr>
          <w:rFonts w:ascii="Arial" w:cs="Arial" w:eastAsia="Arial" w:hAnsi="Arial"/>
          <w:sz w:val="16"/>
          <w:szCs w:val="16"/>
          <w:b w:val="1"/>
          <w:bCs w:val="1"/>
          <w:color w:val="0033A0"/>
        </w:rPr>
        <w:t>76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-123190</wp:posOffset>
            </wp:positionV>
            <wp:extent cx="32829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580390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100" w:space="200"/>
            <w:col w:w="5920"/>
          </w:cols>
          <w:pgMar w:left="340" w:top="5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0"/>
        <w:spacing w:after="0"/>
        <w:tabs>
          <w:tab w:leader="none" w:pos="960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b w:val="1"/>
          <w:bCs w:val="1"/>
          <w:color w:val="4D4D4D"/>
        </w:rPr>
        <w:t>THE E.W. SCRIPPS COMPANY</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312 Walnut Street</w:t>
      </w:r>
    </w:p>
    <w:p>
      <w:pPr>
        <w:spacing w:after="0"/>
        <w:rPr>
          <w:sz w:val="20"/>
          <w:szCs w:val="20"/>
          <w:color w:val="auto"/>
        </w:rPr>
      </w:pPr>
      <w:r>
        <w:rPr>
          <w:rFonts w:ascii="Arial" w:cs="Arial" w:eastAsia="Arial" w:hAnsi="Arial"/>
          <w:sz w:val="20"/>
          <w:szCs w:val="20"/>
          <w:b w:val="1"/>
          <w:bCs w:val="1"/>
          <w:color w:val="4D4D4D"/>
        </w:rPr>
        <w:t>Cincinnati, Ohio 45202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205740</wp:posOffset>
            </wp:positionV>
            <wp:extent cx="13030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PROXY STATEMENT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2021 Annual Meeting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May 3, 2021</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(the "Board") of The E.W. Scripps Company, an Ohio corporation (the “Company”), for use at the Company’s Virtual Annual Meeting of Shareholders (the “Annual Meeting”), which will be held on Monday, May 3, 2021, at 4:00 PM Eastern Time. Shareholders can attend the meeting at www.virtualshareholdermeeting.com/SSP2021.</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close of business on March 8, 2021, has been fixed as the record date for the determination of shareholders entitled to notice of and to vote at the Annual Meeting (the "Record Date").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Internet Availability of Proxy Materials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furnishing proxy materials to our shareholders primarily via the Internet under rules adopted by the U.S. Securities and Exchange Commission, instead of mailing printed copies of those materials to each shareholder. On March 19, 2021, we mailed to our shareholders (other than those who previously requested electronic or paper delivery) a Notice of Internet Availability of Proxy Materials containing instructions on how to access our proxy materials, including our Proxy Statement and our Annual Report to Shareholders. The Notice of Internet Availability of Proxy Materials also instructs you on how to access your proxy card to vote via the Internet or by telephone.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process is designed to expedite shareholders’ receipt of proxy materials, lower the cost of the Annual Meeting and help conserve natural resources. If you would prefer to continue to receive printed proxy materials, please follow the instructions included in the Notice of Internet Availability of Proxy Materials. If you have previously elected to receive our proxy materials electronically, you will continue to receive these materials via e-mail unless you elect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Voting Procedures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8, 2021, the Company had outstanding 70,343,522 Class A Common Shares, $.01 par value per share (“Class A Common Shares”), and 11,932,722 Common Voting Shares, $.01 par value per share (“Common Voting Shares”). Holders of Class A Common Shares are entitled to elect the greater of three or one-third of the directors of the Company but are not entitled to vote on any other matters except as required by Ohio law. Holders of Common Voting Shares are entitled to elect all remaining directors and to vote on all other matters requiring a vote of shareholders. Each Class A Common Share and Common Voting Share is entitled to one vote upon matters on which such class of shares is entitled to vote.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To have a quorum necessary to conduct business at the Annual Meeting, it is necessary to have shares that represent (in person or by proxy) the holders of</w:t>
      </w:r>
    </w:p>
    <w:p>
      <w:pPr>
        <w:spacing w:after="0" w:line="46" w:lineRule="exact"/>
        <w:rPr>
          <w:sz w:val="20"/>
          <w:szCs w:val="20"/>
          <w:color w:val="auto"/>
        </w:rPr>
      </w:pPr>
    </w:p>
    <w:p>
      <w:pPr>
        <w:jc w:val="both"/>
        <w:ind w:firstLine="8"/>
        <w:spacing w:after="0" w:line="253" w:lineRule="auto"/>
        <w:tabs>
          <w:tab w:leader="none" w:pos="2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majority of our Class A Common Shares outstanding on the Record Date, and (ii) a majority of our Common Voting Shares outstanding on the Record Date. Shares represented in person or by proxy (including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are a shareholder of record (i.e., you directly hold your shares through an account with our transfer agent, Computershare), you can vote your shares following the instructions in this Proxy Statement using one of the three methods described previously. If you are a beneficial owner (i.e., you indirectly hold your shares through a nominee such as a bank or broker), you can vote your shares following the instructions in this Proxy Statement using the methods provided by your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74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9"/>
          <w:szCs w:val="29"/>
          <w:b w:val="1"/>
          <w:bCs w:val="1"/>
          <w:color w:val="0033A0"/>
        </w:rPr>
        <w:t>Participation in the Annual Meeting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conducted exclusively online without an option for physical attendance in light of the COVID-19 pandemic.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as of the record date will be able to participate in the virtual meeting online, vote shares electronically and submit questions during the meeting by visiting www.virtualshareholdermeeting.com/SSP2021 and entering the 16-digit control number included in the Notice, voting instruction form or proxy card. Only shareholders and proxy holders who enter a valid control number will be able to participate in the virtual Annual Meeting to submit questions and vote. We will post Annual Meeting rules on www.virtualshareholdermeeting.com/SSP2021.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live webcast will begin promptly at 4:00 PM Eastern Time. We encourage you to access the webcast early, starting at approximately 3:45 PM Eastern Time, to allow yourself time to log in and test your computer. If you encounter technical difficulties accessing the virtual Annual Meeting, please call the technical support telephone number posted on www.virtualshareholdermeeting.com/SSP2021.</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make an audio replay of the Annual Meeting available and post answers to questions received at the Annual Meeting that were not addressed (if applicable to The E.W. Scripps Company business and otherwise appropriate under the Annual Meeting rules) on the Company’s Investor Relations website shortly after the meeting. Even if you plan to attend the Annual Meeting online, we encourage you to vote in advance of the Annual Meeting as described in this proxy statement, so that your vote will be counted if you later decide not to attend the Annual Meeting or you encounter technical difficulties. If you wish to submit your votes before the virtual Annual Meeting you need not vote at the Annual Meeting unless you wish to change your vote.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Solicitation of Proxies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solicitation of proxies is made by, and on behalf of, the Board. The Company will pay the cost of the solicitation of proxies, including the cost of printing and mailing the notice of the Annual Meeting, the Proxy Statement and the accompanying proxy. In addition to the solicitation of proxies by mail, solicitation may be made by directors, officers and other employees of the Company by Internet (including by email, Twitter, the use of our investor relations website and other online channels of communication), telephone, facsimile and other electronic channels of communication, town hall meetings, personal interviews, press releases, and press interviews. Our directors, officers and regular employees may, without compensation other than their regular compensation and the reimbursement of expenses, solicit proxies by telephone or personal conversation. The Company has retained the services of Broadridge Financial Solutions, Inc. at an estimated cost of $9,500 to assist the Company in the solicitation of proxies from brokers, nominees, institutions and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0"/>
          <w:szCs w:val="20"/>
          <w:color w:val="auto"/>
        </w:rPr>
      </w:pPr>
    </w:p>
    <w:p>
      <w:pPr>
        <w:ind w:left="500"/>
        <w:spacing w:after="0"/>
        <w:tabs>
          <w:tab w:leader="none" w:pos="574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9"/>
          <w:szCs w:val="29"/>
          <w:b w:val="1"/>
          <w:bCs w:val="1"/>
          <w:color w:val="0033A0"/>
        </w:rPr>
        <w:t>Proposal 1-Election of Directors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0033A0"/>
        </w:rPr>
        <w:t>(Item 1 on the Proxy Card)</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board of ten directors is to be elected, three by the holders of Class A Common Shares voting separately as a class and seven by the holders of Common Voting Shares voting separately as a class. The nominating &amp; governance committee recommended to the Board each of the nominees set forth below. In the election, the nominees receiving the greatest number of votes will be elected. Directors are elected by the shareholders for terms of one year and hold office until their successors are elected and qualify. Each of the director nominees identified in this Proxy Statement has consented to being named as a nominee in our proxy materials and has accepted the nomination and agreed to serve as a director if elected.</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proxy for Class A Common Shares executed and returned by a holder of such shares will be voted for the election of the three directors hereinafter shown as nominees for such class of shares, unless otherwise indicated on such proxy. Each proxy for Common Voting Shares executed and returned by a holder of such shares will be voted for the election of the seven directors hereinafter shown as nominees for such class of shares, unless otherwise indicated on such proxy. Although the Board does not contemplate that any of the nominees hereinafter named will be unavailable for election, in the event that any such nominee is unable to serve, the proxies will be voted for the remaining nominees and for such other person(s), if any, as the Board may propose.</w:t>
      </w:r>
    </w:p>
    <w:p>
      <w:pPr>
        <w:spacing w:after="0" w:line="296" w:lineRule="exact"/>
        <w:rPr>
          <w:sz w:val="20"/>
          <w:szCs w:val="20"/>
          <w:color w:val="auto"/>
        </w:rPr>
      </w:pPr>
    </w:p>
    <w:p>
      <w:pPr>
        <w:ind w:left="1060" w:right="420" w:hanging="843"/>
        <w:spacing w:after="0" w:line="183" w:lineRule="auto"/>
        <w:tabs>
          <w:tab w:leader="none" w:pos="1060" w:val="left"/>
        </w:tabs>
        <w:numPr>
          <w:ilvl w:val="0"/>
          <w:numId w:val="12"/>
        </w:numPr>
        <w:rPr>
          <w:rFonts w:ascii="MS PGothic" w:cs="MS PGothic" w:eastAsia="MS PGothic" w:hAnsi="MS PGothic"/>
          <w:sz w:val="40"/>
          <w:szCs w:val="40"/>
          <w:color w:val="auto"/>
        </w:rPr>
      </w:pPr>
      <w:r>
        <w:rPr>
          <w:rFonts w:ascii="Arial" w:cs="Arial" w:eastAsia="Arial" w:hAnsi="Arial"/>
          <w:sz w:val="16"/>
          <w:szCs w:val="16"/>
          <w:color w:val="auto"/>
        </w:rPr>
        <w:t>THE BOARD RECOMMENDS A VOTE "</w:t>
      </w:r>
      <w:r>
        <w:rPr>
          <w:rFonts w:ascii="Arial" w:cs="Arial" w:eastAsia="Arial" w:hAnsi="Arial"/>
          <w:sz w:val="16"/>
          <w:szCs w:val="16"/>
          <w:color w:val="0033A0"/>
        </w:rPr>
        <w:t>FOR</w:t>
      </w:r>
      <w:r>
        <w:rPr>
          <w:rFonts w:ascii="Arial" w:cs="Arial" w:eastAsia="Arial" w:hAnsi="Arial"/>
          <w:sz w:val="16"/>
          <w:szCs w:val="16"/>
          <w:color w:val="auto"/>
        </w:rPr>
        <w:t>" EACH OF THE NOMINEES FOR WHICH YOU ARE ENTITLED TO VOTE FOR ELECTION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-341630</wp:posOffset>
            </wp:positionV>
            <wp:extent cx="7123430" cy="462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spacing w:after="0"/>
        <w:tabs>
          <w:tab w:leader="none" w:pos="574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ind w:left="1820"/>
        <w:spacing w:after="0"/>
        <w:rPr>
          <w:sz w:val="20"/>
          <w:szCs w:val="20"/>
          <w:color w:val="auto"/>
        </w:rPr>
      </w:pPr>
      <w:r>
        <w:rPr>
          <w:rFonts w:ascii="Arial" w:cs="Arial" w:eastAsia="Arial" w:hAnsi="Arial"/>
          <w:sz w:val="29"/>
          <w:szCs w:val="29"/>
          <w:b w:val="1"/>
          <w:bCs w:val="1"/>
          <w:color w:val="0033A0"/>
        </w:rPr>
        <w:t>Report on the Nominees for Election to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to each of the nominees for election to the Board.</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4D4D4D"/>
        </w:rPr>
        <w:t>Nominees for Election by Holders of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168275</wp:posOffset>
            </wp:positionV>
            <wp:extent cx="7123430" cy="175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1757680"/>
                    </a:xfrm>
                    <a:prstGeom prst="rect">
                      <a:avLst/>
                    </a:prstGeom>
                    <a:noFill/>
                  </pic:spPr>
                </pic:pic>
              </a:graphicData>
            </a:graphic>
          </wp:anchor>
        </w:drawing>
      </w:r>
    </w:p>
    <w:p>
      <w:pPr>
        <w:spacing w:after="0" w:line="398"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0033A0"/>
        </w:rPr>
        <w:t>Lauren Rich Fine</w:t>
      </w:r>
      <w:r>
        <w:rPr>
          <w:rFonts w:ascii="Arial" w:cs="Arial" w:eastAsia="Arial" w:hAnsi="Arial"/>
          <w:sz w:val="21"/>
          <w:szCs w:val="21"/>
          <w:b w:val="1"/>
          <w:bCs w:val="1"/>
          <w:color w:val="0033A0"/>
        </w:rPr>
        <w:t>(1)</w:t>
      </w:r>
    </w:p>
    <w:p>
      <w:pPr>
        <w:spacing w:after="0" w:line="34"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Partner at Gries Financial, LLC</w:t>
      </w:r>
    </w:p>
    <w:p>
      <w:pPr>
        <w:spacing w:after="0" w:line="209" w:lineRule="exact"/>
        <w:rPr>
          <w:sz w:val="20"/>
          <w:szCs w:val="20"/>
          <w:color w:val="auto"/>
        </w:rPr>
      </w:pPr>
    </w:p>
    <w:p>
      <w:pPr>
        <w:ind w:left="2860" w:right="240"/>
        <w:spacing w:after="0" w:line="311" w:lineRule="auto"/>
        <w:rPr>
          <w:sz w:val="20"/>
          <w:szCs w:val="20"/>
          <w:color w:val="auto"/>
        </w:rPr>
      </w:pPr>
      <w:r>
        <w:rPr>
          <w:rFonts w:ascii="Arial" w:cs="Arial" w:eastAsia="Arial" w:hAnsi="Arial"/>
          <w:sz w:val="16"/>
          <w:szCs w:val="16"/>
          <w:color w:val="auto"/>
        </w:rPr>
        <w:t>Partner at investment/wealth management firm, Gries Financial, LLC since 2016. Executive search consultant at Howard &amp; O’Brien from 2010 to 2015. Faculty member at Kent State University School of Journalism &amp; Mass Communication from 2007 to 2011. Managing Director in Equity Research at Merrill Lynch from 1986 to 2007.</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23430" cy="175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3430" cy="1757680"/>
                    </a:xfrm>
                    <a:prstGeom prst="rect">
                      <a:avLst/>
                    </a:prstGeom>
                    <a:noFill/>
                  </pic:spPr>
                </pic:pic>
              </a:graphicData>
            </a:graphic>
          </wp:anchor>
        </w:drawing>
      </w:r>
    </w:p>
    <w:p>
      <w:pPr>
        <w:spacing w:after="0" w:line="304"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0033A0"/>
        </w:rPr>
        <w:t>Wonya Y. Lucas</w:t>
      </w:r>
      <w:r>
        <w:rPr>
          <w:rFonts w:ascii="Arial" w:cs="Arial" w:eastAsia="Arial" w:hAnsi="Arial"/>
          <w:sz w:val="21"/>
          <w:szCs w:val="21"/>
          <w:b w:val="1"/>
          <w:bCs w:val="1"/>
          <w:color w:val="0033A0"/>
        </w:rPr>
        <w:t>(2)</w:t>
      </w:r>
    </w:p>
    <w:p>
      <w:pPr>
        <w:spacing w:after="0" w:line="34"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President and Chief Executive Officer of Crown Media Family Networks</w:t>
      </w:r>
    </w:p>
    <w:p>
      <w:pPr>
        <w:spacing w:after="0" w:line="209" w:lineRule="exact"/>
        <w:rPr>
          <w:sz w:val="20"/>
          <w:szCs w:val="20"/>
          <w:color w:val="auto"/>
        </w:rPr>
      </w:pPr>
    </w:p>
    <w:p>
      <w:pPr>
        <w:ind w:left="2860" w:right="180"/>
        <w:spacing w:after="0" w:line="311" w:lineRule="auto"/>
        <w:rPr>
          <w:sz w:val="20"/>
          <w:szCs w:val="20"/>
          <w:color w:val="auto"/>
        </w:rPr>
      </w:pPr>
      <w:r>
        <w:rPr>
          <w:rFonts w:ascii="Arial" w:cs="Arial" w:eastAsia="Arial" w:hAnsi="Arial"/>
          <w:sz w:val="16"/>
          <w:szCs w:val="16"/>
          <w:color w:val="auto"/>
        </w:rPr>
        <w:t>President and Chief Executive Officer of Crown Media Family Networks from 2020 to present. President and Chief Executive Officer of Public Broadcasting Atlanta from 2015 to 2020. President of Lucas Strategic Consultants, LLC from 2013 to 2015. President and Chief Executive Officer of TV One, LLC from 2012 to 2014.</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8255" cy="2023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2023110"/>
                    </a:xfrm>
                    <a:prstGeom prst="rect">
                      <a:avLst/>
                    </a:prstGeom>
                    <a:noFill/>
                  </pic:spPr>
                </pic:pic>
              </a:graphicData>
            </a:graphic>
          </wp:anchor>
        </w:drawing>
      </w:r>
    </w:p>
    <w:p>
      <w:pPr>
        <w:spacing w:after="0" w:line="304"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0033A0"/>
        </w:rPr>
        <w:t>Kim Williams</w:t>
      </w:r>
      <w:r>
        <w:rPr>
          <w:rFonts w:ascii="Arial" w:cs="Arial" w:eastAsia="Arial" w:hAnsi="Arial"/>
          <w:sz w:val="21"/>
          <w:szCs w:val="21"/>
          <w:b w:val="1"/>
          <w:bCs w:val="1"/>
          <w:color w:val="0033A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822960" cy="1028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1028700"/>
                    </a:xfrm>
                    <a:prstGeom prst="rect">
                      <a:avLst/>
                    </a:prstGeom>
                    <a:noFill/>
                  </pic:spPr>
                </pic:pic>
              </a:graphicData>
            </a:graphic>
          </wp:anchor>
        </w:drawing>
      </w:r>
    </w:p>
    <w:p>
      <w:pPr>
        <w:spacing w:after="0" w:line="14" w:lineRule="exact"/>
        <w:rPr>
          <w:sz w:val="20"/>
          <w:szCs w:val="20"/>
          <w:color w:val="auto"/>
        </w:rPr>
      </w:pPr>
    </w:p>
    <w:p>
      <w:pPr>
        <w:ind w:left="2860" w:right="3420"/>
        <w:spacing w:after="0" w:line="321" w:lineRule="auto"/>
        <w:rPr>
          <w:sz w:val="20"/>
          <w:szCs w:val="20"/>
          <w:color w:val="auto"/>
        </w:rPr>
      </w:pPr>
      <w:r>
        <w:rPr>
          <w:rFonts w:ascii="Arial" w:cs="Arial" w:eastAsia="Arial" w:hAnsi="Arial"/>
          <w:sz w:val="16"/>
          <w:szCs w:val="16"/>
          <w:i w:val="1"/>
          <w:iCs w:val="1"/>
          <w:color w:val="auto"/>
        </w:rPr>
        <w:t>Retired Senior Vice President, Partner, and Associate Director; Global Industry Research at Wellington Management Company, LLP</w:t>
      </w:r>
    </w:p>
    <w:p>
      <w:pPr>
        <w:spacing w:after="0" w:line="14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If elected, becomes Chairperson of the Board effective at the 2021 Annual Meeting. Lead Director since</w:t>
      </w:r>
    </w:p>
    <w:p>
      <w:pPr>
        <w:spacing w:after="0" w:line="23" w:lineRule="exact"/>
        <w:rPr>
          <w:sz w:val="20"/>
          <w:szCs w:val="20"/>
          <w:color w:val="auto"/>
        </w:rPr>
      </w:pPr>
    </w:p>
    <w:p>
      <w:pPr>
        <w:ind w:left="2860" w:right="300"/>
        <w:spacing w:after="0" w:line="255" w:lineRule="auto"/>
        <w:rPr>
          <w:sz w:val="20"/>
          <w:szCs w:val="20"/>
          <w:color w:val="auto"/>
        </w:rPr>
      </w:pPr>
      <w:r>
        <w:rPr>
          <w:rFonts w:ascii="Arial" w:cs="Arial" w:eastAsia="Arial" w:hAnsi="Arial"/>
          <w:sz w:val="18"/>
          <w:szCs w:val="18"/>
          <w:color w:val="auto"/>
        </w:rPr>
        <w:t>2018. Retired since 2006. Senior Vice President, Partner, and Associate Director of Global Industry Research at Wellington Management Company, LLP from 1995 to 2001. Senior Vice President, Partner, Global Industry Analyst from 1986 to 1995.</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Lead Director, Audit,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Nominating &amp;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500"/>
        <w:spacing w:after="0"/>
        <w:tabs>
          <w:tab w:leader="none" w:pos="574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20"/>
          <w:szCs w:val="20"/>
          <w:b w:val="1"/>
          <w:bCs w:val="1"/>
          <w:color w:val="4D4D4D"/>
        </w:rPr>
        <w:t>Nominees for Election by Holders of Common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-130810</wp:posOffset>
            </wp:positionV>
            <wp:extent cx="882650" cy="76981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2650" cy="7698105"/>
                    </a:xfrm>
                    <a:prstGeom prst="rect">
                      <a:avLst/>
                    </a:prstGeom>
                    <a:noFill/>
                  </pic:spPr>
                </pic:pic>
              </a:graphicData>
            </a:graphic>
          </wp:anchor>
        </w:drawing>
      </w:r>
    </w:p>
    <w:p>
      <w:pPr>
        <w:spacing w:after="0" w:line="155"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0033A0"/>
        </w:rPr>
        <w:t>Marcellus W. Alexander, Jr.</w:t>
      </w:r>
    </w:p>
    <w:p>
      <w:pPr>
        <w:spacing w:after="0" w:line="234" w:lineRule="exact"/>
        <w:rPr>
          <w:sz w:val="20"/>
          <w:szCs w:val="20"/>
          <w:color w:val="auto"/>
        </w:rPr>
      </w:pPr>
    </w:p>
    <w:p>
      <w:pPr>
        <w:ind w:left="2740" w:right="80"/>
        <w:spacing w:after="0" w:line="259" w:lineRule="auto"/>
        <w:rPr>
          <w:sz w:val="20"/>
          <w:szCs w:val="20"/>
          <w:color w:val="auto"/>
        </w:rPr>
      </w:pPr>
      <w:r>
        <w:rPr>
          <w:rFonts w:ascii="Arial" w:cs="Arial" w:eastAsia="Arial" w:hAnsi="Arial"/>
          <w:sz w:val="18"/>
          <w:szCs w:val="18"/>
          <w:color w:val="auto"/>
        </w:rPr>
        <w:t>Senior Advisor, Television and President of National Association of Broadcasters Leadership Foundation from 2018 to 2019. Executive Vice President, Television and President, National Association of Broadcasters Education Foundation from 2004 to 2018. Executive Vice President, Television of National Association of Broadcasters from 2002 to 2004.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w:t>
      </w:r>
    </w:p>
    <w:p>
      <w:pPr>
        <w:spacing w:after="0" w:line="200" w:lineRule="exact"/>
        <w:rPr>
          <w:sz w:val="20"/>
          <w:szCs w:val="20"/>
          <w:color w:val="auto"/>
        </w:rPr>
      </w:pPr>
    </w:p>
    <w:p>
      <w:pPr>
        <w:spacing w:after="0" w:line="232"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0033A0"/>
        </w:rPr>
        <w:t>Charles L. Barmonde</w:t>
      </w:r>
      <w:r>
        <w:rPr>
          <w:rFonts w:ascii="Arial" w:cs="Arial" w:eastAsia="Arial" w:hAnsi="Arial"/>
          <w:sz w:val="21"/>
          <w:szCs w:val="21"/>
          <w:b w:val="1"/>
          <w:bCs w:val="1"/>
          <w:color w:val="0033A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822960" cy="1028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000000"/>
                        </a:clrFrom>
                        <a:clrTo>
                          <a:srgbClr val="000000">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wp:posOffset>
            </wp:positionV>
            <wp:extent cx="822960" cy="1028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r>
    </w:p>
    <w:p>
      <w:pPr>
        <w:spacing w:after="0" w:line="214" w:lineRule="exact"/>
        <w:rPr>
          <w:sz w:val="20"/>
          <w:szCs w:val="20"/>
          <w:color w:val="auto"/>
        </w:rPr>
      </w:pPr>
    </w:p>
    <w:p>
      <w:pPr>
        <w:ind w:left="2740" w:right="260"/>
        <w:spacing w:after="0" w:line="277" w:lineRule="auto"/>
        <w:rPr>
          <w:sz w:val="20"/>
          <w:szCs w:val="20"/>
          <w:color w:val="auto"/>
        </w:rPr>
      </w:pPr>
      <w:r>
        <w:rPr>
          <w:rFonts w:ascii="Arial" w:cs="Arial" w:eastAsia="Arial" w:hAnsi="Arial"/>
          <w:sz w:val="18"/>
          <w:szCs w:val="18"/>
          <w:color w:val="auto"/>
        </w:rPr>
        <w:t>Private investor, educator and entrepreneur. Owner and founder of Arch Contemporary Ceramics, a retail gallery and studio. Former Trustee of the Scripps Howard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Nominating &amp; Governance</w:t>
      </w:r>
    </w:p>
    <w:p>
      <w:pPr>
        <w:spacing w:after="0" w:line="200" w:lineRule="exact"/>
        <w:rPr>
          <w:sz w:val="20"/>
          <w:szCs w:val="20"/>
          <w:color w:val="auto"/>
        </w:rPr>
      </w:pPr>
    </w:p>
    <w:p>
      <w:pPr>
        <w:spacing w:after="0" w:line="232"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0033A0"/>
        </w:rPr>
        <w:t>Kelly P. Conlin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822960" cy="1028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000000"/>
                        </a:clrFrom>
                        <a:clrTo>
                          <a:srgbClr val="000000">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wp:posOffset>
            </wp:positionV>
            <wp:extent cx="822960" cy="1028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r>
    </w:p>
    <w:p>
      <w:pPr>
        <w:spacing w:after="0" w:line="214" w:lineRule="exact"/>
        <w:rPr>
          <w:sz w:val="20"/>
          <w:szCs w:val="20"/>
          <w:color w:val="auto"/>
        </w:rPr>
      </w:pPr>
    </w:p>
    <w:p>
      <w:pPr>
        <w:jc w:val="both"/>
        <w:ind w:left="2740" w:right="140"/>
        <w:spacing w:after="0" w:line="263" w:lineRule="auto"/>
        <w:rPr>
          <w:sz w:val="20"/>
          <w:szCs w:val="20"/>
          <w:color w:val="auto"/>
        </w:rPr>
      </w:pPr>
      <w:r>
        <w:rPr>
          <w:rFonts w:ascii="Arial" w:cs="Arial" w:eastAsia="Arial" w:hAnsi="Arial"/>
          <w:sz w:val="18"/>
          <w:szCs w:val="18"/>
          <w:color w:val="auto"/>
        </w:rPr>
        <w:t>Chairman and Chief Executive Officer of Zinio, Inc. from 2015 to 2019. Chairman and Chief Executive Officer of NameMedia from 2006 to 2015. Chief Executive Officer of Primedia from 2003 to 2005. Chief Executive Officer of IDG Inc. from 1995 to 2002.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822960" cy="1028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000000"/>
                        </a:clrFrom>
                        <a:clrTo>
                          <a:srgbClr val="000000">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822960" cy="1028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0033A0"/>
        </w:rPr>
        <w:t>John W. Hayden</w:t>
      </w:r>
      <w:r>
        <w:rPr>
          <w:rFonts w:ascii="Arial" w:cs="Arial" w:eastAsia="Arial" w:hAnsi="Arial"/>
          <w:sz w:val="21"/>
          <w:szCs w:val="21"/>
          <w:b w:val="1"/>
          <w:bCs w:val="1"/>
          <w:color w:val="0033A0"/>
        </w:rPr>
        <w:t>(5)</w:t>
      </w:r>
    </w:p>
    <w:p>
      <w:pPr>
        <w:spacing w:after="0" w:line="234" w:lineRule="exact"/>
        <w:rPr>
          <w:sz w:val="20"/>
          <w:szCs w:val="20"/>
          <w:color w:val="auto"/>
        </w:rPr>
      </w:pPr>
    </w:p>
    <w:p>
      <w:pPr>
        <w:ind w:left="2740" w:right="240"/>
        <w:spacing w:after="0" w:line="263" w:lineRule="auto"/>
        <w:rPr>
          <w:sz w:val="20"/>
          <w:szCs w:val="20"/>
          <w:color w:val="auto"/>
        </w:rPr>
      </w:pPr>
      <w:r>
        <w:rPr>
          <w:rFonts w:ascii="Arial" w:cs="Arial" w:eastAsia="Arial" w:hAnsi="Arial"/>
          <w:sz w:val="18"/>
          <w:szCs w:val="18"/>
          <w:color w:val="auto"/>
        </w:rPr>
        <w:t>President and Chief Executive Officer of CJH Consulting. President and Chief Executive Officer of The Midland Company from 1998 to 2010. Chairman, President and Chief Executive Officer of American Modern Insurance Group from 1996 to 1998.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Executive,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220345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1" w:lineRule="exact"/>
        <w:rPr>
          <w:sz w:val="20"/>
          <w:szCs w:val="20"/>
          <w:color w:val="auto"/>
        </w:rPr>
      </w:pPr>
    </w:p>
    <w:p>
      <w:pPr>
        <w:ind w:left="380"/>
        <w:spacing w:after="0"/>
        <w:tabs>
          <w:tab w:leader="none" w:pos="5560" w:val="left"/>
          <w:tab w:leader="none" w:pos="950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183515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-175895</wp:posOffset>
            </wp:positionV>
            <wp:extent cx="20574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120"/>
          </w:cols>
          <w:pgMar w:left="440" w:top="333" w:right="339" w:bottom="1440" w:gutter="0" w:footer="0" w:header="0"/>
        </w:sectPr>
      </w:pPr>
    </w:p>
    <w:bookmarkStart w:id="10" w:name="page11"/>
    <w:bookmarkEnd w:id="10"/>
    <w:p>
      <w:pPr>
        <w:ind w:left="2852"/>
        <w:spacing w:after="0"/>
        <w:rPr>
          <w:sz w:val="20"/>
          <w:szCs w:val="20"/>
          <w:color w:val="auto"/>
        </w:rPr>
      </w:pPr>
      <w:r>
        <w:rPr>
          <w:rFonts w:ascii="Arial" w:cs="Arial" w:eastAsia="Arial" w:hAnsi="Arial"/>
          <w:sz w:val="25"/>
          <w:szCs w:val="25"/>
          <w:b w:val="1"/>
          <w:bCs w:val="1"/>
          <w:color w:val="0033A0"/>
        </w:rPr>
        <w:drawing>
          <wp:anchor simplePos="0" relativeHeight="251657728" behindDoc="1" locked="0" layoutInCell="0" allowOverlap="1">
            <wp:simplePos x="0" y="0"/>
            <wp:positionH relativeFrom="page">
              <wp:posOffset>216535</wp:posOffset>
            </wp:positionH>
            <wp:positionV relativeFrom="page">
              <wp:posOffset>226060</wp:posOffset>
            </wp:positionV>
            <wp:extent cx="7123430" cy="5734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3430" cy="5734685"/>
                    </a:xfrm>
                    <a:prstGeom prst="rect">
                      <a:avLst/>
                    </a:prstGeom>
                    <a:noFill/>
                  </pic:spPr>
                </pic:pic>
              </a:graphicData>
            </a:graphic>
          </wp:anchor>
        </w:drawing>
        <w:t>Anne M. La Dow</w:t>
      </w:r>
      <w:r>
        <w:rPr>
          <w:rFonts w:ascii="Arial" w:cs="Arial" w:eastAsia="Arial" w:hAnsi="Arial"/>
          <w:sz w:val="21"/>
          <w:szCs w:val="21"/>
          <w:b w:val="1"/>
          <w:bCs w:val="1"/>
          <w:color w:val="0033A0"/>
        </w:rPr>
        <w:t>(4)</w:t>
      </w:r>
    </w:p>
    <w:p>
      <w:pPr>
        <w:spacing w:after="0" w:line="234" w:lineRule="exact"/>
        <w:rPr>
          <w:sz w:val="20"/>
          <w:szCs w:val="20"/>
          <w:color w:val="auto"/>
        </w:rPr>
      </w:pPr>
    </w:p>
    <w:p>
      <w:pPr>
        <w:ind w:left="2852"/>
        <w:spacing w:after="0"/>
        <w:rPr>
          <w:sz w:val="20"/>
          <w:szCs w:val="20"/>
          <w:color w:val="auto"/>
        </w:rPr>
      </w:pPr>
      <w:r>
        <w:rPr>
          <w:rFonts w:ascii="Arial" w:cs="Arial" w:eastAsia="Arial" w:hAnsi="Arial"/>
          <w:sz w:val="18"/>
          <w:szCs w:val="18"/>
          <w:color w:val="auto"/>
        </w:rPr>
        <w:t>Private investor and former Human Resources Director of the Ventura County 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7"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2012</w:t>
      </w:r>
    </w:p>
    <w:p>
      <w:pPr>
        <w:spacing w:after="0" w:line="9"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w:t>
      </w:r>
    </w:p>
    <w:p>
      <w:pPr>
        <w:spacing w:after="0" w:line="200" w:lineRule="exact"/>
        <w:rPr>
          <w:sz w:val="20"/>
          <w:szCs w:val="20"/>
          <w:color w:val="auto"/>
        </w:rPr>
      </w:pPr>
    </w:p>
    <w:p>
      <w:pPr>
        <w:spacing w:after="0" w:line="232" w:lineRule="exact"/>
        <w:rPr>
          <w:sz w:val="20"/>
          <w:szCs w:val="20"/>
          <w:color w:val="auto"/>
        </w:rPr>
      </w:pPr>
    </w:p>
    <w:p>
      <w:pPr>
        <w:ind w:left="2852"/>
        <w:spacing w:after="0"/>
        <w:rPr>
          <w:sz w:val="20"/>
          <w:szCs w:val="20"/>
          <w:color w:val="auto"/>
        </w:rPr>
      </w:pPr>
      <w:r>
        <w:rPr>
          <w:rFonts w:ascii="Arial" w:cs="Arial" w:eastAsia="Arial" w:hAnsi="Arial"/>
          <w:sz w:val="25"/>
          <w:szCs w:val="25"/>
          <w:b w:val="1"/>
          <w:bCs w:val="1"/>
          <w:color w:val="0033A0"/>
        </w:rPr>
        <w:t>R. Michael Scagliotti</w:t>
      </w:r>
      <w:r>
        <w:rPr>
          <w:rFonts w:ascii="Arial" w:cs="Arial" w:eastAsia="Arial" w:hAnsi="Arial"/>
          <w:sz w:val="21"/>
          <w:szCs w:val="21"/>
          <w:b w:val="1"/>
          <w:bCs w:val="1"/>
          <w:color w:val="0033A0"/>
        </w:rPr>
        <w:t>(4)</w:t>
      </w:r>
    </w:p>
    <w:p>
      <w:pPr>
        <w:spacing w:after="0" w:line="234" w:lineRule="exact"/>
        <w:rPr>
          <w:sz w:val="20"/>
          <w:szCs w:val="20"/>
          <w:color w:val="auto"/>
        </w:rPr>
      </w:pPr>
    </w:p>
    <w:p>
      <w:pPr>
        <w:ind w:left="2852"/>
        <w:spacing w:after="0"/>
        <w:rPr>
          <w:sz w:val="20"/>
          <w:szCs w:val="20"/>
          <w:color w:val="auto"/>
        </w:rPr>
      </w:pPr>
      <w:r>
        <w:rPr>
          <w:rFonts w:ascii="Arial" w:cs="Arial" w:eastAsia="Arial" w:hAnsi="Arial"/>
          <w:sz w:val="18"/>
          <w:szCs w:val="18"/>
          <w:color w:val="auto"/>
        </w:rPr>
        <w:t>Private investor and artist. Trustee of the Scripps Howard Foundation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7"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spacing w:after="0" w:line="9"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&amp;</w:t>
      </w:r>
    </w:p>
    <w:p>
      <w:pPr>
        <w:spacing w:after="0" w:line="9" w:lineRule="exact"/>
        <w:rPr>
          <w:sz w:val="20"/>
          <w:szCs w:val="20"/>
          <w:color w:val="auto"/>
        </w:rPr>
      </w:pPr>
    </w:p>
    <w:p>
      <w:pPr>
        <w:ind w:left="112"/>
        <w:spacing w:after="0"/>
        <w:rPr>
          <w:sz w:val="20"/>
          <w:szCs w:val="20"/>
          <w:color w:val="auto"/>
        </w:rPr>
      </w:pPr>
      <w:r>
        <w:rPr>
          <w:rFonts w:ascii="Arial" w:cs="Arial" w:eastAsia="Arial" w:hAnsi="Arial"/>
          <w:sz w:val="18"/>
          <w:szCs w:val="18"/>
          <w:color w:val="auto"/>
        </w:rPr>
        <w:t>Governance</w:t>
      </w:r>
    </w:p>
    <w:p>
      <w:pPr>
        <w:spacing w:after="0" w:line="200" w:lineRule="exact"/>
        <w:rPr>
          <w:sz w:val="20"/>
          <w:szCs w:val="20"/>
          <w:color w:val="auto"/>
        </w:rPr>
      </w:pPr>
    </w:p>
    <w:p>
      <w:pPr>
        <w:spacing w:after="0" w:line="232" w:lineRule="exact"/>
        <w:rPr>
          <w:sz w:val="20"/>
          <w:szCs w:val="20"/>
          <w:color w:val="auto"/>
        </w:rPr>
      </w:pPr>
    </w:p>
    <w:p>
      <w:pPr>
        <w:ind w:left="2852"/>
        <w:spacing w:after="0"/>
        <w:rPr>
          <w:sz w:val="20"/>
          <w:szCs w:val="20"/>
          <w:color w:val="auto"/>
        </w:rPr>
      </w:pPr>
      <w:r>
        <w:rPr>
          <w:rFonts w:ascii="Arial" w:cs="Arial" w:eastAsia="Arial" w:hAnsi="Arial"/>
          <w:sz w:val="25"/>
          <w:szCs w:val="25"/>
          <w:b w:val="1"/>
          <w:bCs w:val="1"/>
          <w:color w:val="0033A0"/>
        </w:rPr>
        <w:t>Adam P. Symson</w:t>
      </w:r>
    </w:p>
    <w:p>
      <w:pPr>
        <w:spacing w:after="0" w:line="234" w:lineRule="exact"/>
        <w:rPr>
          <w:sz w:val="20"/>
          <w:szCs w:val="20"/>
          <w:color w:val="auto"/>
        </w:rPr>
      </w:pPr>
    </w:p>
    <w:p>
      <w:pPr>
        <w:jc w:val="both"/>
        <w:ind w:left="2852" w:right="220"/>
        <w:spacing w:after="0" w:line="263" w:lineRule="auto"/>
        <w:rPr>
          <w:sz w:val="20"/>
          <w:szCs w:val="20"/>
          <w:color w:val="auto"/>
        </w:rPr>
      </w:pPr>
      <w:r>
        <w:rPr>
          <w:rFonts w:ascii="Arial" w:cs="Arial" w:eastAsia="Arial" w:hAnsi="Arial"/>
          <w:sz w:val="18"/>
          <w:szCs w:val="18"/>
          <w:color w:val="auto"/>
        </w:rPr>
        <w:t>President and Chief Executive Officer since August 2017. Chief Operating Officer from November 2016 through August 2017. Senior Vice President of Digital from 2013 through 2016. Chief Digital Officer from 2011 through 2013. Vice President Interactive Media/Television from 2007 to 2011.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46</w:t>
      </w:r>
    </w:p>
    <w:p>
      <w:pPr>
        <w:spacing w:after="0" w:line="27"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spacing w:after="0" w:line="9"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w:t>
      </w:r>
    </w:p>
    <w:p>
      <w:pPr>
        <w:spacing w:after="0" w:line="247" w:lineRule="exact"/>
        <w:rPr>
          <w:sz w:val="20"/>
          <w:szCs w:val="20"/>
          <w:color w:val="auto"/>
        </w:rPr>
      </w:pPr>
    </w:p>
    <w:p>
      <w:pPr>
        <w:ind w:left="252" w:hanging="252"/>
        <w:spacing w:after="0"/>
        <w:tabs>
          <w:tab w:leader="none" w:pos="2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Fine is a director of Private Trust Co. (Private), BioMendics LLC and Your Teen Media LLC (start-up companies).</w:t>
      </w:r>
    </w:p>
    <w:p>
      <w:pPr>
        <w:spacing w:after="0" w:line="95" w:lineRule="exact"/>
        <w:rPr>
          <w:rFonts w:ascii="Arial" w:cs="Arial" w:eastAsia="Arial" w:hAnsi="Arial"/>
          <w:sz w:val="14"/>
          <w:szCs w:val="14"/>
          <w:color w:val="auto"/>
        </w:rPr>
      </w:pPr>
    </w:p>
    <w:p>
      <w:pPr>
        <w:ind w:left="252" w:hanging="252"/>
        <w:spacing w:after="0"/>
        <w:tabs>
          <w:tab w:leader="none" w:pos="2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Lucas is a trustee of the Sundance Institute. Ms. Lucas was a director of JC Penny (a retail company) until August 2020.</w:t>
      </w:r>
    </w:p>
    <w:p>
      <w:pPr>
        <w:spacing w:after="0" w:line="95" w:lineRule="exact"/>
        <w:rPr>
          <w:rFonts w:ascii="Arial" w:cs="Arial" w:eastAsia="Arial" w:hAnsi="Arial"/>
          <w:sz w:val="14"/>
          <w:szCs w:val="14"/>
          <w:color w:val="auto"/>
        </w:rPr>
      </w:pPr>
    </w:p>
    <w:p>
      <w:pPr>
        <w:ind w:left="252" w:hanging="252"/>
        <w:spacing w:after="0"/>
        <w:tabs>
          <w:tab w:leader="none" w:pos="2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Williams is a director of Weyerhauser Company (a forest products company) and Xcel Energy, Inc. (a utility company).</w:t>
      </w:r>
    </w:p>
    <w:p>
      <w:pPr>
        <w:spacing w:after="0" w:line="95" w:lineRule="exact"/>
        <w:rPr>
          <w:rFonts w:ascii="Arial" w:cs="Arial" w:eastAsia="Arial" w:hAnsi="Arial"/>
          <w:sz w:val="14"/>
          <w:szCs w:val="14"/>
          <w:color w:val="auto"/>
        </w:rPr>
      </w:pPr>
    </w:p>
    <w:p>
      <w:pPr>
        <w:ind w:left="252" w:hanging="252"/>
        <w:spacing w:after="0" w:line="253" w:lineRule="auto"/>
        <w:tabs>
          <w:tab w:leader="none" w:pos="2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Barmonde, Ms. La Dow and Mr. Scagliotti are all Signatories to the Scripps Family Agreement. Ms. La Dow and Messrs. Barmonde and Scagliotti are cousins. See "Related Party Transactions-Scripps Family Agreement" below.</w:t>
      </w:r>
    </w:p>
    <w:p>
      <w:pPr>
        <w:spacing w:after="0" w:line="65" w:lineRule="exact"/>
        <w:rPr>
          <w:rFonts w:ascii="Arial" w:cs="Arial" w:eastAsia="Arial" w:hAnsi="Arial"/>
          <w:sz w:val="14"/>
          <w:szCs w:val="14"/>
          <w:color w:val="auto"/>
        </w:rPr>
      </w:pPr>
    </w:p>
    <w:p>
      <w:pPr>
        <w:ind w:left="252" w:right="20" w:hanging="252"/>
        <w:spacing w:after="0" w:line="253" w:lineRule="auto"/>
        <w:tabs>
          <w:tab w:leader="none" w:pos="2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Hayden is a director of Ohio National Financial Services Co. (a mutual insurance and financial services company), ABR Re (a Bermuda-based reinsurance company), Hauser Private Equity and General Nano (an advanced materials company).</w:t>
      </w:r>
    </w:p>
    <w:p>
      <w:pPr>
        <w:spacing w:after="0" w:line="174" w:lineRule="exact"/>
        <w:rPr>
          <w:sz w:val="20"/>
          <w:szCs w:val="20"/>
          <w:color w:val="auto"/>
        </w:rPr>
      </w:pPr>
    </w:p>
    <w:p>
      <w:pPr>
        <w:ind w:left="252" w:hanging="252"/>
        <w:spacing w:after="0"/>
        <w:tabs>
          <w:tab w:leader="none" w:pos="2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Age reflected as of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
        <w:spacing w:after="0"/>
        <w:tabs>
          <w:tab w:leader="none" w:pos="5672" w:val="left"/>
          <w:tab w:leader="none" w:pos="9612"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20574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32"/>
          </w:cols>
          <w:pgMar w:left="328" w:top="50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4D4D4D"/>
        </w:rPr>
        <w:t>Nominee Qualifications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nominees for the Board consist of ten members who we believe are extremely well-qualified to serve on the board and represent our shareholders' best interests. The nominating &amp; governance committee selects nominees with a view to establishing a Board that is comprised of members who:</w:t>
      </w:r>
    </w:p>
    <w:p>
      <w:pPr>
        <w:spacing w:after="0" w:line="1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0033A0"/>
        </w:rPr>
      </w:pPr>
      <w:r>
        <w:rPr>
          <w:rFonts w:ascii="Arial" w:cs="Arial" w:eastAsia="Arial" w:hAnsi="Arial"/>
          <w:sz w:val="18"/>
          <w:szCs w:val="18"/>
          <w:color w:val="auto"/>
        </w:rPr>
        <w:t>have extensive business leadership experience,</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15"/>
        </w:numPr>
        <w:rPr>
          <w:rFonts w:ascii="Arial" w:cs="Arial" w:eastAsia="Arial" w:hAnsi="Arial"/>
          <w:sz w:val="18"/>
          <w:szCs w:val="18"/>
          <w:color w:val="0033A0"/>
        </w:rPr>
      </w:pPr>
      <w:r>
        <w:rPr>
          <w:rFonts w:ascii="Arial" w:cs="Arial" w:eastAsia="Arial" w:hAnsi="Arial"/>
          <w:sz w:val="18"/>
          <w:szCs w:val="18"/>
          <w:color w:val="auto"/>
        </w:rPr>
        <w:t>bring diverse perspectives to the Board,</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15"/>
        </w:numPr>
        <w:rPr>
          <w:rFonts w:ascii="Arial" w:cs="Arial" w:eastAsia="Arial" w:hAnsi="Arial"/>
          <w:sz w:val="18"/>
          <w:szCs w:val="18"/>
          <w:color w:val="0033A0"/>
        </w:rPr>
      </w:pPr>
      <w:r>
        <w:rPr>
          <w:rFonts w:ascii="Arial" w:cs="Arial" w:eastAsia="Arial" w:hAnsi="Arial"/>
          <w:sz w:val="18"/>
          <w:szCs w:val="18"/>
          <w:color w:val="auto"/>
        </w:rPr>
        <w:t>bring institutional knowledge and a thorough understanding of the Company's history and vision,</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15"/>
        </w:numPr>
        <w:rPr>
          <w:rFonts w:ascii="Arial" w:cs="Arial" w:eastAsia="Arial" w:hAnsi="Arial"/>
          <w:sz w:val="18"/>
          <w:szCs w:val="18"/>
          <w:color w:val="0033A0"/>
        </w:rPr>
      </w:pPr>
      <w:r>
        <w:rPr>
          <w:rFonts w:ascii="Arial" w:cs="Arial" w:eastAsia="Arial" w:hAnsi="Arial"/>
          <w:sz w:val="18"/>
          <w:szCs w:val="18"/>
          <w:color w:val="auto"/>
        </w:rPr>
        <w:t>have high ethical standards, broad discernment, as well as sound business judgment and acumen, and</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15"/>
        </w:numPr>
        <w:rPr>
          <w:rFonts w:ascii="Arial" w:cs="Arial" w:eastAsia="Arial" w:hAnsi="Arial"/>
          <w:sz w:val="18"/>
          <w:szCs w:val="18"/>
          <w:color w:val="0033A0"/>
        </w:rPr>
      </w:pPr>
      <w:r>
        <w:rPr>
          <w:rFonts w:ascii="Arial" w:cs="Arial" w:eastAsia="Arial" w:hAnsi="Arial"/>
          <w:sz w:val="18"/>
          <w:szCs w:val="18"/>
          <w:color w:val="auto"/>
        </w:rPr>
        <w:t>understand and are willing to make the time commitment necessary for the Board to effectively fulfill its responsibilities.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Nominees Tenure and Diversity</w:t>
      </w:r>
    </w:p>
    <w:p>
      <w:pPr>
        <w:spacing w:after="0" w:line="247" w:lineRule="exact"/>
        <w:rPr>
          <w:sz w:val="20"/>
          <w:szCs w:val="20"/>
          <w:color w:val="auto"/>
        </w:rPr>
      </w:pPr>
    </w:p>
    <w:p>
      <w:pPr>
        <w:ind w:left="1560"/>
        <w:spacing w:after="0"/>
        <w:tabs>
          <w:tab w:leader="none" w:pos="5020" w:val="left"/>
          <w:tab w:leader="none" w:pos="9020" w:val="left"/>
        </w:tabs>
        <w:rPr>
          <w:sz w:val="20"/>
          <w:szCs w:val="20"/>
          <w:color w:val="auto"/>
        </w:rPr>
      </w:pPr>
      <w:r>
        <w:rPr>
          <w:rFonts w:ascii="Arial" w:cs="Arial" w:eastAsia="Arial" w:hAnsi="Arial"/>
          <w:sz w:val="18"/>
          <w:szCs w:val="18"/>
          <w:b w:val="1"/>
          <w:bCs w:val="1"/>
          <w:color w:val="0033A0"/>
        </w:rPr>
        <w:t>Tenure</w:t>
      </w:r>
      <w:r>
        <w:rPr>
          <w:sz w:val="20"/>
          <w:szCs w:val="20"/>
          <w:color w:val="auto"/>
        </w:rPr>
        <w:tab/>
      </w:r>
      <w:r>
        <w:rPr>
          <w:rFonts w:ascii="Arial" w:cs="Arial" w:eastAsia="Arial" w:hAnsi="Arial"/>
          <w:sz w:val="18"/>
          <w:szCs w:val="18"/>
          <w:b w:val="1"/>
          <w:bCs w:val="1"/>
          <w:color w:val="0033A0"/>
        </w:rPr>
        <w:t>Diversity</w:t>
      </w:r>
      <w:r>
        <w:rPr>
          <w:sz w:val="20"/>
          <w:szCs w:val="20"/>
          <w:color w:val="auto"/>
        </w:rPr>
        <w:tab/>
      </w:r>
      <w:r>
        <w:rPr>
          <w:rFonts w:ascii="Arial" w:cs="Arial" w:eastAsia="Arial" w:hAnsi="Arial"/>
          <w:sz w:val="15"/>
          <w:szCs w:val="15"/>
          <w:b w:val="1"/>
          <w:bCs w:val="1"/>
          <w:color w:val="0033A0"/>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900545" cy="13544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0054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Board Refreshment</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Company benefits when there is a mix of experienced directors with a deep understanding of our businesses and others who bring a fresh perspective. The Board remains committed to refreshment and to seek out highly qualified women and minority candidates, as well as candidates with diverse backgrounds,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9"/>
          <w:szCs w:val="29"/>
          <w:b w:val="1"/>
          <w:bCs w:val="1"/>
          <w:color w:val="0033A0"/>
        </w:rPr>
        <w:t>Report on the Security Ownership of Certain Beneficial Owners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sets forth certain information with respect to persons known to management to be the beneficial owners, as of January 29, 2021, unless indicated otherwise in the footnotes below, of more than 5 percent of the Company’s outstanding Class A Common Shares or Common Voting Shares. Unless otherwise indicated, the persons named in the table have sole voting and investment power with respect to all shares shown therein as being beneficially owned by them. The percentages shown in the table are based on 69,815,084 Class A Common Shares and 11,932,722 Common Voting Shares outstanding as of January 29, 2021, unless indicated otherwise in the footnotes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00" w:type="dxa"/>
            <w:vAlign w:val="bottom"/>
            <w:tcBorders>
              <w:top w:val="single" w:sz="8" w:color="BFBFBF"/>
            </w:tcBorders>
            <w:shd w:val="clear" w:color="auto" w:fill="E6E6E6"/>
          </w:tcPr>
          <w:p>
            <w:pPr>
              <w:spacing w:after="0"/>
              <w:rPr>
                <w:sz w:val="14"/>
                <w:szCs w:val="14"/>
                <w:color w:val="auto"/>
              </w:rPr>
            </w:pPr>
          </w:p>
        </w:tc>
        <w:tc>
          <w:tcPr>
            <w:tcW w:w="1540" w:type="dxa"/>
            <w:vAlign w:val="bottom"/>
            <w:tcBorders>
              <w:top w:val="single" w:sz="8" w:color="BFBFBF"/>
            </w:tcBorders>
            <w:shd w:val="clear" w:color="auto" w:fill="E6E6E6"/>
          </w:tcPr>
          <w:p>
            <w:pPr>
              <w:jc w:val="center"/>
              <w:ind w:right="62"/>
              <w:spacing w:after="0"/>
              <w:rPr>
                <w:sz w:val="20"/>
                <w:szCs w:val="20"/>
                <w:color w:val="auto"/>
              </w:rPr>
            </w:pPr>
            <w:r>
              <w:rPr>
                <w:rFonts w:ascii="Arial" w:cs="Arial" w:eastAsia="Arial" w:hAnsi="Arial"/>
                <w:sz w:val="14"/>
                <w:szCs w:val="14"/>
                <w:b w:val="1"/>
                <w:bCs w:val="1"/>
                <w:color w:val="0033A0"/>
                <w:w w:val="93"/>
              </w:rPr>
              <w:t>Class A</w:t>
            </w:r>
          </w:p>
        </w:tc>
        <w:tc>
          <w:tcPr>
            <w:tcW w:w="1220" w:type="dxa"/>
            <w:vAlign w:val="bottom"/>
            <w:tcBorders>
              <w:top w:val="single" w:sz="8" w:color="BFBFBF"/>
            </w:tcBorders>
            <w:vMerge w:val="restart"/>
            <w:shd w:val="clear" w:color="auto" w:fill="E6E6E6"/>
          </w:tcPr>
          <w:p>
            <w:pPr>
              <w:ind w:left="300"/>
              <w:spacing w:after="0"/>
              <w:rPr>
                <w:sz w:val="20"/>
                <w:szCs w:val="20"/>
                <w:color w:val="auto"/>
              </w:rPr>
            </w:pPr>
            <w:r>
              <w:rPr>
                <w:rFonts w:ascii="Arial" w:cs="Arial" w:eastAsia="Arial" w:hAnsi="Arial"/>
                <w:sz w:val="14"/>
                <w:szCs w:val="14"/>
                <w:b w:val="1"/>
                <w:bCs w:val="1"/>
                <w:color w:val="0033A0"/>
              </w:rPr>
              <w:t>Percent</w:t>
            </w:r>
          </w:p>
        </w:tc>
        <w:tc>
          <w:tcPr>
            <w:tcW w:w="1560" w:type="dxa"/>
            <w:vAlign w:val="bottom"/>
            <w:tcBorders>
              <w:top w:val="single" w:sz="8" w:color="BFBFBF"/>
            </w:tcBorders>
            <w:shd w:val="clear" w:color="auto" w:fill="E6E6E6"/>
          </w:tcPr>
          <w:p>
            <w:pPr>
              <w:ind w:left="420"/>
              <w:spacing w:after="0"/>
              <w:rPr>
                <w:sz w:val="20"/>
                <w:szCs w:val="20"/>
                <w:color w:val="auto"/>
              </w:rPr>
            </w:pPr>
            <w:r>
              <w:rPr>
                <w:rFonts w:ascii="Arial" w:cs="Arial" w:eastAsia="Arial" w:hAnsi="Arial"/>
                <w:sz w:val="14"/>
                <w:szCs w:val="14"/>
                <w:b w:val="1"/>
                <w:bCs w:val="1"/>
                <w:color w:val="0033A0"/>
              </w:rPr>
              <w:t>Common</w:t>
            </w:r>
          </w:p>
        </w:tc>
        <w:tc>
          <w:tcPr>
            <w:tcW w:w="1220" w:type="dxa"/>
            <w:vAlign w:val="bottom"/>
            <w:tcBorders>
              <w:top w:val="single" w:sz="8" w:color="BFBFBF"/>
            </w:tcBorders>
            <w:vMerge w:val="restart"/>
            <w:shd w:val="clear" w:color="auto" w:fill="E6E6E6"/>
          </w:tcPr>
          <w:p>
            <w:pPr>
              <w:ind w:left="300"/>
              <w:spacing w:after="0"/>
              <w:rPr>
                <w:sz w:val="20"/>
                <w:szCs w:val="20"/>
                <w:color w:val="auto"/>
              </w:rPr>
            </w:pPr>
            <w:r>
              <w:rPr>
                <w:rFonts w:ascii="Arial" w:cs="Arial" w:eastAsia="Arial" w:hAnsi="Arial"/>
                <w:sz w:val="14"/>
                <w:szCs w:val="14"/>
                <w:b w:val="1"/>
                <w:bCs w:val="1"/>
                <w:color w:val="0033A0"/>
              </w:rPr>
              <w:t>Percent</w:t>
            </w:r>
          </w:p>
        </w:tc>
        <w:tc>
          <w:tcPr>
            <w:tcW w:w="0" w:type="dxa"/>
            <w:vAlign w:val="bottom"/>
          </w:tcPr>
          <w:p>
            <w:pPr>
              <w:spacing w:after="0"/>
              <w:rPr>
                <w:sz w:val="1"/>
                <w:szCs w:val="1"/>
                <w:color w:val="auto"/>
              </w:rPr>
            </w:pPr>
          </w:p>
        </w:tc>
      </w:tr>
      <w:tr>
        <w:trPr>
          <w:trHeight w:val="148"/>
        </w:trPr>
        <w:tc>
          <w:tcPr>
            <w:tcW w:w="5700" w:type="dxa"/>
            <w:vAlign w:val="bottom"/>
            <w:vMerge w:val="restart"/>
            <w:shd w:val="clear" w:color="auto" w:fill="E6E6E6"/>
          </w:tcPr>
          <w:p>
            <w:pPr>
              <w:ind w:left="140"/>
              <w:spacing w:after="0"/>
              <w:rPr>
                <w:sz w:val="20"/>
                <w:szCs w:val="20"/>
                <w:color w:val="auto"/>
              </w:rPr>
            </w:pPr>
            <w:r>
              <w:rPr>
                <w:rFonts w:ascii="Arial" w:cs="Arial" w:eastAsia="Arial" w:hAnsi="Arial"/>
                <w:sz w:val="14"/>
                <w:szCs w:val="14"/>
                <w:b w:val="1"/>
                <w:bCs w:val="1"/>
                <w:color w:val="0033A0"/>
              </w:rPr>
              <w:t>Name and Address of Beneficial Owner</w:t>
            </w:r>
          </w:p>
        </w:tc>
        <w:tc>
          <w:tcPr>
            <w:tcW w:w="1540" w:type="dxa"/>
            <w:vAlign w:val="bottom"/>
            <w:shd w:val="clear" w:color="auto" w:fill="E6E6E6"/>
          </w:tcPr>
          <w:p>
            <w:pPr>
              <w:jc w:val="center"/>
              <w:ind w:right="62"/>
              <w:spacing w:after="0" w:line="149" w:lineRule="exact"/>
              <w:rPr>
                <w:sz w:val="20"/>
                <w:szCs w:val="20"/>
                <w:color w:val="auto"/>
              </w:rPr>
            </w:pPr>
            <w:r>
              <w:rPr>
                <w:rFonts w:ascii="Arial" w:cs="Arial" w:eastAsia="Arial" w:hAnsi="Arial"/>
                <w:sz w:val="14"/>
                <w:szCs w:val="14"/>
                <w:b w:val="1"/>
                <w:bCs w:val="1"/>
                <w:color w:val="0033A0"/>
                <w:w w:val="92"/>
              </w:rPr>
              <w:t>Common</w:t>
            </w:r>
          </w:p>
        </w:tc>
        <w:tc>
          <w:tcPr>
            <w:tcW w:w="1220" w:type="dxa"/>
            <w:vAlign w:val="bottom"/>
            <w:vMerge w:val="continue"/>
            <w:shd w:val="clear" w:color="auto" w:fill="E6E6E6"/>
          </w:tcPr>
          <w:p>
            <w:pPr>
              <w:spacing w:after="0"/>
              <w:rPr>
                <w:sz w:val="12"/>
                <w:szCs w:val="12"/>
                <w:color w:val="auto"/>
              </w:rPr>
            </w:pPr>
          </w:p>
        </w:tc>
        <w:tc>
          <w:tcPr>
            <w:tcW w:w="1560" w:type="dxa"/>
            <w:vAlign w:val="bottom"/>
            <w:shd w:val="clear" w:color="auto" w:fill="E6E6E6"/>
          </w:tcPr>
          <w:p>
            <w:pPr>
              <w:ind w:left="500"/>
              <w:spacing w:after="0" w:line="149" w:lineRule="exact"/>
              <w:rPr>
                <w:sz w:val="20"/>
                <w:szCs w:val="20"/>
                <w:color w:val="auto"/>
              </w:rPr>
            </w:pPr>
            <w:r>
              <w:rPr>
                <w:rFonts w:ascii="Arial" w:cs="Arial" w:eastAsia="Arial" w:hAnsi="Arial"/>
                <w:sz w:val="14"/>
                <w:szCs w:val="14"/>
                <w:b w:val="1"/>
                <w:bCs w:val="1"/>
                <w:color w:val="0033A0"/>
              </w:rPr>
              <w:t>Voting</w:t>
            </w:r>
          </w:p>
        </w:tc>
        <w:tc>
          <w:tcPr>
            <w:tcW w:w="122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700" w:type="dxa"/>
            <w:vAlign w:val="bottom"/>
            <w:tcBorders>
              <w:bottom w:val="single" w:sz="8" w:color="BFBFBF"/>
            </w:tcBorders>
            <w:vMerge w:val="continue"/>
            <w:shd w:val="clear" w:color="auto" w:fill="E6E6E6"/>
          </w:tcPr>
          <w:p>
            <w:pPr>
              <w:spacing w:after="0"/>
              <w:rPr>
                <w:sz w:val="15"/>
                <w:szCs w:val="15"/>
                <w:color w:val="auto"/>
              </w:rPr>
            </w:pPr>
          </w:p>
        </w:tc>
        <w:tc>
          <w:tcPr>
            <w:tcW w:w="1540" w:type="dxa"/>
            <w:vAlign w:val="bottom"/>
            <w:tcBorders>
              <w:bottom w:val="single" w:sz="8" w:color="BFBFBF"/>
            </w:tcBorders>
            <w:shd w:val="clear" w:color="auto" w:fill="E6E6E6"/>
          </w:tcPr>
          <w:p>
            <w:pPr>
              <w:jc w:val="center"/>
              <w:ind w:right="62"/>
              <w:spacing w:after="0"/>
              <w:rPr>
                <w:sz w:val="20"/>
                <w:szCs w:val="20"/>
                <w:color w:val="auto"/>
              </w:rPr>
            </w:pPr>
            <w:r>
              <w:rPr>
                <w:rFonts w:ascii="Arial" w:cs="Arial" w:eastAsia="Arial" w:hAnsi="Arial"/>
                <w:sz w:val="14"/>
                <w:szCs w:val="14"/>
                <w:b w:val="1"/>
                <w:bCs w:val="1"/>
                <w:color w:val="0033A0"/>
                <w:w w:val="85"/>
              </w:rPr>
              <w:t>Shares</w:t>
            </w:r>
          </w:p>
        </w:tc>
        <w:tc>
          <w:tcPr>
            <w:tcW w:w="1220" w:type="dxa"/>
            <w:vAlign w:val="bottom"/>
            <w:tcBorders>
              <w:bottom w:val="single" w:sz="8" w:color="BFBFBF"/>
            </w:tcBorders>
            <w:shd w:val="clear" w:color="auto" w:fill="E6E6E6"/>
          </w:tcPr>
          <w:p>
            <w:pPr>
              <w:ind w:left="300"/>
              <w:spacing w:after="0"/>
              <w:rPr>
                <w:sz w:val="20"/>
                <w:szCs w:val="20"/>
                <w:color w:val="auto"/>
              </w:rPr>
            </w:pPr>
            <w:r>
              <w:rPr>
                <w:rFonts w:ascii="Arial" w:cs="Arial" w:eastAsia="Arial" w:hAnsi="Arial"/>
                <w:sz w:val="14"/>
                <w:szCs w:val="14"/>
                <w:b w:val="1"/>
                <w:bCs w:val="1"/>
                <w:color w:val="0033A0"/>
              </w:rPr>
              <w:t>of Class</w:t>
            </w:r>
          </w:p>
        </w:tc>
        <w:tc>
          <w:tcPr>
            <w:tcW w:w="1560" w:type="dxa"/>
            <w:vAlign w:val="bottom"/>
            <w:tcBorders>
              <w:bottom w:val="single" w:sz="8" w:color="BFBFBF"/>
            </w:tcBorders>
            <w:shd w:val="clear" w:color="auto" w:fill="E6E6E6"/>
          </w:tcPr>
          <w:p>
            <w:pPr>
              <w:ind w:left="500"/>
              <w:spacing w:after="0"/>
              <w:rPr>
                <w:sz w:val="20"/>
                <w:szCs w:val="20"/>
                <w:color w:val="auto"/>
              </w:rPr>
            </w:pPr>
            <w:r>
              <w:rPr>
                <w:rFonts w:ascii="Arial" w:cs="Arial" w:eastAsia="Arial" w:hAnsi="Arial"/>
                <w:sz w:val="14"/>
                <w:szCs w:val="14"/>
                <w:b w:val="1"/>
                <w:bCs w:val="1"/>
                <w:color w:val="0033A0"/>
              </w:rPr>
              <w:t>Shares</w:t>
            </w:r>
          </w:p>
        </w:tc>
        <w:tc>
          <w:tcPr>
            <w:tcW w:w="1220" w:type="dxa"/>
            <w:vAlign w:val="bottom"/>
            <w:tcBorders>
              <w:bottom w:val="single" w:sz="8" w:color="BFBFBF"/>
            </w:tcBorders>
            <w:shd w:val="clear" w:color="auto" w:fill="E6E6E6"/>
          </w:tcPr>
          <w:p>
            <w:pPr>
              <w:ind w:left="280"/>
              <w:spacing w:after="0"/>
              <w:rPr>
                <w:sz w:val="20"/>
                <w:szCs w:val="20"/>
                <w:color w:val="auto"/>
              </w:rPr>
            </w:pPr>
            <w:r>
              <w:rPr>
                <w:rFonts w:ascii="Arial" w:cs="Arial" w:eastAsia="Arial" w:hAnsi="Arial"/>
                <w:sz w:val="14"/>
                <w:szCs w:val="14"/>
                <w:b w:val="1"/>
                <w:bCs w:val="1"/>
                <w:color w:val="0033A0"/>
              </w:rPr>
              <w:t>of Class</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b w:val="1"/>
                <w:bCs w:val="1"/>
                <w:color w:val="0033A0"/>
              </w:rPr>
              <w:t>Signatories to Scripps Family Agreement</w:t>
            </w:r>
            <w:r>
              <w:rPr>
                <w:rFonts w:ascii="Arial" w:cs="Arial" w:eastAsia="Arial" w:hAnsi="Arial"/>
                <w:sz w:val="15"/>
                <w:szCs w:val="15"/>
                <w:b w:val="1"/>
                <w:bCs w:val="1"/>
                <w:color w:val="0033A0"/>
              </w:rPr>
              <w:t>(1)</w:t>
            </w:r>
          </w:p>
        </w:tc>
        <w:tc>
          <w:tcPr>
            <w:tcW w:w="1540" w:type="dxa"/>
            <w:vAlign w:val="bottom"/>
          </w:tcPr>
          <w:p>
            <w:pPr>
              <w:jc w:val="right"/>
              <w:ind w:right="202"/>
              <w:spacing w:after="0"/>
              <w:rPr>
                <w:sz w:val="20"/>
                <w:szCs w:val="20"/>
                <w:color w:val="auto"/>
              </w:rPr>
            </w:pPr>
            <w:r>
              <w:rPr>
                <w:rFonts w:ascii="Arial" w:cs="Arial" w:eastAsia="Arial" w:hAnsi="Arial"/>
                <w:sz w:val="16"/>
                <w:szCs w:val="16"/>
                <w:color w:val="auto"/>
              </w:rPr>
              <w:t>11,721,556</w:t>
            </w:r>
          </w:p>
        </w:tc>
        <w:tc>
          <w:tcPr>
            <w:tcW w:w="1220" w:type="dxa"/>
            <w:vAlign w:val="bottom"/>
          </w:tcPr>
          <w:p>
            <w:pPr>
              <w:jc w:val="center"/>
              <w:ind w:right="81"/>
              <w:spacing w:after="0"/>
              <w:rPr>
                <w:sz w:val="20"/>
                <w:szCs w:val="20"/>
                <w:color w:val="auto"/>
              </w:rPr>
            </w:pPr>
            <w:r>
              <w:rPr>
                <w:rFonts w:ascii="Arial" w:cs="Arial" w:eastAsia="Arial" w:hAnsi="Arial"/>
                <w:sz w:val="16"/>
                <w:szCs w:val="16"/>
                <w:color w:val="auto"/>
                <w:w w:val="92"/>
              </w:rPr>
              <w:t>16.8%</w:t>
            </w:r>
          </w:p>
        </w:tc>
        <w:tc>
          <w:tcPr>
            <w:tcW w:w="1560" w:type="dxa"/>
            <w:vAlign w:val="bottom"/>
          </w:tcPr>
          <w:p>
            <w:pPr>
              <w:ind w:left="540"/>
              <w:spacing w:after="0"/>
              <w:rPr>
                <w:sz w:val="20"/>
                <w:szCs w:val="20"/>
                <w:color w:val="auto"/>
              </w:rPr>
            </w:pPr>
            <w:r>
              <w:rPr>
                <w:rFonts w:ascii="Arial" w:cs="Arial" w:eastAsia="Arial" w:hAnsi="Arial"/>
                <w:sz w:val="16"/>
                <w:szCs w:val="16"/>
                <w:color w:val="auto"/>
              </w:rPr>
              <w:t>11,130,723</w:t>
            </w:r>
          </w:p>
        </w:tc>
        <w:tc>
          <w:tcPr>
            <w:tcW w:w="1220" w:type="dxa"/>
            <w:vAlign w:val="bottom"/>
          </w:tcPr>
          <w:p>
            <w:pPr>
              <w:ind w:left="320"/>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i w:val="1"/>
                <w:iCs w:val="1"/>
                <w:color w:val="auto"/>
              </w:rPr>
              <w:t>Tracy Tunney Ward</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i w:val="1"/>
                <w:iCs w:val="1"/>
                <w:color w:val="auto"/>
              </w:rPr>
              <w:t>Miramar Services, Inc.</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i w:val="1"/>
                <w:iCs w:val="1"/>
                <w:color w:val="auto"/>
              </w:rPr>
              <w:t>250 Grandview Ave., Suite 44</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BFBFBF"/>
            </w:tcBorders>
          </w:tcPr>
          <w:p>
            <w:pPr>
              <w:ind w:left="380"/>
              <w:spacing w:after="0"/>
              <w:rPr>
                <w:sz w:val="20"/>
                <w:szCs w:val="20"/>
                <w:color w:val="auto"/>
              </w:rPr>
            </w:pPr>
            <w:r>
              <w:rPr>
                <w:rFonts w:ascii="Arial" w:cs="Arial" w:eastAsia="Arial" w:hAnsi="Arial"/>
                <w:sz w:val="18"/>
                <w:szCs w:val="18"/>
                <w:i w:val="1"/>
                <w:iCs w:val="1"/>
                <w:color w:val="auto"/>
              </w:rPr>
              <w:t>Ft. Mitchell, KY 41017</w:t>
            </w:r>
          </w:p>
        </w:tc>
        <w:tc>
          <w:tcPr>
            <w:tcW w:w="154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156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F2F2F2"/>
          </w:tcPr>
          <w:p>
            <w:pPr>
              <w:ind w:left="140"/>
              <w:spacing w:after="0"/>
              <w:rPr>
                <w:sz w:val="20"/>
                <w:szCs w:val="20"/>
                <w:color w:val="auto"/>
              </w:rPr>
            </w:pPr>
            <w:r>
              <w:rPr>
                <w:rFonts w:ascii="Arial" w:cs="Arial" w:eastAsia="Arial" w:hAnsi="Arial"/>
                <w:sz w:val="18"/>
                <w:szCs w:val="18"/>
                <w:b w:val="1"/>
                <w:bCs w:val="1"/>
                <w:color w:val="0033A0"/>
              </w:rPr>
              <w:t>Columbia Insurance Company</w:t>
            </w:r>
            <w:r>
              <w:rPr>
                <w:rFonts w:ascii="Arial" w:cs="Arial" w:eastAsia="Arial" w:hAnsi="Arial"/>
                <w:sz w:val="15"/>
                <w:szCs w:val="15"/>
                <w:b w:val="1"/>
                <w:bCs w:val="1"/>
                <w:color w:val="0033A0"/>
              </w:rPr>
              <w:t>(2)</w:t>
            </w:r>
          </w:p>
        </w:tc>
        <w:tc>
          <w:tcPr>
            <w:tcW w:w="15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23,076,923</w:t>
            </w:r>
          </w:p>
        </w:tc>
        <w:tc>
          <w:tcPr>
            <w:tcW w:w="1220" w:type="dxa"/>
            <w:vAlign w:val="bottom"/>
            <w:shd w:val="clear" w:color="auto" w:fill="F2F2F2"/>
          </w:tcPr>
          <w:p>
            <w:pPr>
              <w:jc w:val="center"/>
              <w:ind w:right="81"/>
              <w:spacing w:after="0"/>
              <w:rPr>
                <w:sz w:val="20"/>
                <w:szCs w:val="20"/>
                <w:color w:val="auto"/>
              </w:rPr>
            </w:pPr>
            <w:r>
              <w:rPr>
                <w:rFonts w:ascii="Arial" w:cs="Arial" w:eastAsia="Arial" w:hAnsi="Arial"/>
                <w:sz w:val="16"/>
                <w:szCs w:val="16"/>
                <w:color w:val="auto"/>
                <w:w w:val="92"/>
              </w:rPr>
              <w:t>24.8%</w:t>
            </w:r>
          </w:p>
        </w:tc>
        <w:tc>
          <w:tcPr>
            <w:tcW w:w="1560" w:type="dxa"/>
            <w:vAlign w:val="bottom"/>
            <w:shd w:val="clear" w:color="auto" w:fill="F2F2F2"/>
          </w:tcPr>
          <w:p>
            <w:pPr>
              <w:ind w:left="6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700" w:type="dxa"/>
            <w:vAlign w:val="bottom"/>
            <w:shd w:val="clear" w:color="auto" w:fill="F2F2F2"/>
          </w:tcPr>
          <w:p>
            <w:pPr>
              <w:ind w:left="380"/>
              <w:spacing w:after="0"/>
              <w:rPr>
                <w:sz w:val="20"/>
                <w:szCs w:val="20"/>
                <w:color w:val="auto"/>
              </w:rPr>
            </w:pPr>
            <w:r>
              <w:rPr>
                <w:rFonts w:ascii="Arial" w:cs="Arial" w:eastAsia="Arial" w:hAnsi="Arial"/>
                <w:sz w:val="18"/>
                <w:szCs w:val="18"/>
                <w:i w:val="1"/>
                <w:iCs w:val="1"/>
                <w:color w:val="auto"/>
              </w:rPr>
              <w:t>1314 Douglas Street</w:t>
            </w:r>
          </w:p>
        </w:tc>
        <w:tc>
          <w:tcPr>
            <w:tcW w:w="154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156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BFBFBF"/>
            </w:tcBorders>
            <w:shd w:val="clear" w:color="auto" w:fill="F2F2F2"/>
          </w:tcPr>
          <w:p>
            <w:pPr>
              <w:ind w:left="380"/>
              <w:spacing w:after="0"/>
              <w:rPr>
                <w:sz w:val="20"/>
                <w:szCs w:val="20"/>
                <w:color w:val="auto"/>
              </w:rPr>
            </w:pPr>
            <w:r>
              <w:rPr>
                <w:rFonts w:ascii="Arial" w:cs="Arial" w:eastAsia="Arial" w:hAnsi="Arial"/>
                <w:sz w:val="18"/>
                <w:szCs w:val="18"/>
                <w:i w:val="1"/>
                <w:iCs w:val="1"/>
                <w:color w:val="auto"/>
              </w:rPr>
              <w:t>Omaha, NE 68102</w:t>
            </w:r>
          </w:p>
        </w:tc>
        <w:tc>
          <w:tcPr>
            <w:tcW w:w="1540" w:type="dxa"/>
            <w:vAlign w:val="bottom"/>
            <w:tcBorders>
              <w:bottom w:val="single" w:sz="8" w:color="BFBFBF"/>
            </w:tcBorders>
            <w:shd w:val="clear" w:color="auto" w:fill="F2F2F2"/>
          </w:tcPr>
          <w:p>
            <w:pPr>
              <w:spacing w:after="0"/>
              <w:rPr>
                <w:sz w:val="20"/>
                <w:szCs w:val="20"/>
                <w:color w:val="auto"/>
              </w:rPr>
            </w:pPr>
          </w:p>
        </w:tc>
        <w:tc>
          <w:tcPr>
            <w:tcW w:w="1220" w:type="dxa"/>
            <w:vAlign w:val="bottom"/>
            <w:tcBorders>
              <w:bottom w:val="single" w:sz="8" w:color="BFBFBF"/>
            </w:tcBorders>
            <w:shd w:val="clear" w:color="auto" w:fill="F2F2F2"/>
          </w:tcPr>
          <w:p>
            <w:pPr>
              <w:spacing w:after="0"/>
              <w:rPr>
                <w:sz w:val="20"/>
                <w:szCs w:val="20"/>
                <w:color w:val="auto"/>
              </w:rPr>
            </w:pPr>
          </w:p>
        </w:tc>
        <w:tc>
          <w:tcPr>
            <w:tcW w:w="1560" w:type="dxa"/>
            <w:vAlign w:val="bottom"/>
            <w:tcBorders>
              <w:bottom w:val="single" w:sz="8" w:color="BFBFBF"/>
            </w:tcBorders>
            <w:shd w:val="clear" w:color="auto" w:fill="F2F2F2"/>
          </w:tcPr>
          <w:p>
            <w:pPr>
              <w:spacing w:after="0"/>
              <w:rPr>
                <w:sz w:val="20"/>
                <w:szCs w:val="20"/>
                <w:color w:val="auto"/>
              </w:rPr>
            </w:pPr>
          </w:p>
        </w:tc>
        <w:tc>
          <w:tcPr>
            <w:tcW w:w="1220" w:type="dxa"/>
            <w:vAlign w:val="bottom"/>
            <w:tcBorders>
              <w:bottom w:val="single" w:sz="8" w:color="BFBFBF"/>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140"/>
              <w:spacing w:after="0"/>
              <w:rPr>
                <w:sz w:val="20"/>
                <w:szCs w:val="20"/>
                <w:color w:val="auto"/>
              </w:rPr>
            </w:pPr>
            <w:r>
              <w:rPr>
                <w:rFonts w:ascii="Arial" w:cs="Arial" w:eastAsia="Arial" w:hAnsi="Arial"/>
                <w:sz w:val="18"/>
                <w:szCs w:val="18"/>
                <w:b w:val="1"/>
                <w:bCs w:val="1"/>
                <w:color w:val="0033A0"/>
              </w:rPr>
              <w:t>BlackRock, Inc.</w:t>
            </w:r>
            <w:r>
              <w:rPr>
                <w:rFonts w:ascii="Arial" w:cs="Arial" w:eastAsia="Arial" w:hAnsi="Arial"/>
                <w:sz w:val="15"/>
                <w:szCs w:val="15"/>
                <w:b w:val="1"/>
                <w:bCs w:val="1"/>
                <w:color w:val="0033A0"/>
              </w:rPr>
              <w:t>(3)</w:t>
            </w:r>
          </w:p>
        </w:tc>
        <w:tc>
          <w:tcPr>
            <w:tcW w:w="1540" w:type="dxa"/>
            <w:vAlign w:val="bottom"/>
          </w:tcPr>
          <w:p>
            <w:pPr>
              <w:jc w:val="right"/>
              <w:ind w:right="202"/>
              <w:spacing w:after="0"/>
              <w:rPr>
                <w:sz w:val="20"/>
                <w:szCs w:val="20"/>
                <w:color w:val="auto"/>
              </w:rPr>
            </w:pPr>
            <w:r>
              <w:rPr>
                <w:rFonts w:ascii="Arial" w:cs="Arial" w:eastAsia="Arial" w:hAnsi="Arial"/>
                <w:sz w:val="16"/>
                <w:szCs w:val="16"/>
                <w:color w:val="auto"/>
              </w:rPr>
              <w:t>9,070,704</w:t>
            </w:r>
          </w:p>
        </w:tc>
        <w:tc>
          <w:tcPr>
            <w:tcW w:w="1220" w:type="dxa"/>
            <w:vAlign w:val="bottom"/>
          </w:tcPr>
          <w:p>
            <w:pPr>
              <w:jc w:val="center"/>
              <w:ind w:right="81"/>
              <w:spacing w:after="0"/>
              <w:rPr>
                <w:sz w:val="20"/>
                <w:szCs w:val="20"/>
                <w:color w:val="auto"/>
              </w:rPr>
            </w:pPr>
            <w:r>
              <w:rPr>
                <w:rFonts w:ascii="Arial" w:cs="Arial" w:eastAsia="Arial" w:hAnsi="Arial"/>
                <w:sz w:val="16"/>
                <w:szCs w:val="16"/>
                <w:color w:val="auto"/>
                <w:w w:val="92"/>
              </w:rPr>
              <w:t>13.0%</w:t>
            </w:r>
          </w:p>
        </w:tc>
        <w:tc>
          <w:tcPr>
            <w:tcW w:w="1560" w:type="dxa"/>
            <w:vAlign w:val="bottom"/>
          </w:tcPr>
          <w:p>
            <w:pPr>
              <w:ind w:left="680"/>
              <w:spacing w:after="0"/>
              <w:rPr>
                <w:sz w:val="20"/>
                <w:szCs w:val="20"/>
                <w:color w:val="auto"/>
              </w:rPr>
            </w:pPr>
            <w:r>
              <w:rPr>
                <w:rFonts w:ascii="Arial" w:cs="Arial" w:eastAsia="Arial" w:hAnsi="Arial"/>
                <w:sz w:val="16"/>
                <w:szCs w:val="16"/>
                <w:color w:val="auto"/>
              </w:rPr>
              <w:t>—</w:t>
            </w:r>
          </w:p>
        </w:tc>
        <w:tc>
          <w:tcPr>
            <w:tcW w:w="122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i w:val="1"/>
                <w:iCs w:val="1"/>
                <w:color w:val="auto"/>
              </w:rPr>
              <w:t>55 East 52nd Street</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BFBFBF"/>
            </w:tcBorders>
          </w:tcPr>
          <w:p>
            <w:pPr>
              <w:ind w:left="380"/>
              <w:spacing w:after="0"/>
              <w:rPr>
                <w:sz w:val="20"/>
                <w:szCs w:val="20"/>
                <w:color w:val="auto"/>
              </w:rPr>
            </w:pPr>
            <w:r>
              <w:rPr>
                <w:rFonts w:ascii="Arial" w:cs="Arial" w:eastAsia="Arial" w:hAnsi="Arial"/>
                <w:sz w:val="18"/>
                <w:szCs w:val="18"/>
                <w:i w:val="1"/>
                <w:iCs w:val="1"/>
                <w:color w:val="auto"/>
              </w:rPr>
              <w:t>New York, NY 10055</w:t>
            </w:r>
          </w:p>
        </w:tc>
        <w:tc>
          <w:tcPr>
            <w:tcW w:w="154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156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F2F2F2"/>
          </w:tcPr>
          <w:p>
            <w:pPr>
              <w:ind w:left="140"/>
              <w:spacing w:after="0"/>
              <w:rPr>
                <w:sz w:val="20"/>
                <w:szCs w:val="20"/>
                <w:color w:val="auto"/>
              </w:rPr>
            </w:pPr>
            <w:r>
              <w:rPr>
                <w:rFonts w:ascii="Arial" w:cs="Arial" w:eastAsia="Arial" w:hAnsi="Arial"/>
                <w:sz w:val="18"/>
                <w:szCs w:val="18"/>
                <w:b w:val="1"/>
                <w:bCs w:val="1"/>
                <w:color w:val="0033A0"/>
              </w:rPr>
              <w:t>GAMCO Investors, Inc.</w:t>
            </w:r>
            <w:r>
              <w:rPr>
                <w:rFonts w:ascii="Arial" w:cs="Arial" w:eastAsia="Arial" w:hAnsi="Arial"/>
                <w:sz w:val="15"/>
                <w:szCs w:val="15"/>
                <w:b w:val="1"/>
                <w:bCs w:val="1"/>
                <w:color w:val="0033A0"/>
              </w:rPr>
              <w:t>(4)</w:t>
            </w:r>
          </w:p>
        </w:tc>
        <w:tc>
          <w:tcPr>
            <w:tcW w:w="15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6,306,967</w:t>
            </w:r>
          </w:p>
        </w:tc>
        <w:tc>
          <w:tcPr>
            <w:tcW w:w="1220" w:type="dxa"/>
            <w:vAlign w:val="bottom"/>
            <w:shd w:val="clear" w:color="auto" w:fill="F2F2F2"/>
          </w:tcPr>
          <w:p>
            <w:pPr>
              <w:jc w:val="center"/>
              <w:ind w:right="81"/>
              <w:spacing w:after="0"/>
              <w:rPr>
                <w:sz w:val="20"/>
                <w:szCs w:val="20"/>
                <w:color w:val="auto"/>
              </w:rPr>
            </w:pPr>
            <w:r>
              <w:rPr>
                <w:rFonts w:ascii="Arial" w:cs="Arial" w:eastAsia="Arial" w:hAnsi="Arial"/>
                <w:sz w:val="16"/>
                <w:szCs w:val="16"/>
                <w:color w:val="auto"/>
                <w:w w:val="93"/>
              </w:rPr>
              <w:t>9.0%</w:t>
            </w:r>
          </w:p>
        </w:tc>
        <w:tc>
          <w:tcPr>
            <w:tcW w:w="1560" w:type="dxa"/>
            <w:vAlign w:val="bottom"/>
            <w:shd w:val="clear" w:color="auto" w:fill="F2F2F2"/>
          </w:tcPr>
          <w:p>
            <w:pPr>
              <w:ind w:left="6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700" w:type="dxa"/>
            <w:vAlign w:val="bottom"/>
            <w:shd w:val="clear" w:color="auto" w:fill="F2F2F2"/>
          </w:tcPr>
          <w:p>
            <w:pPr>
              <w:ind w:left="380"/>
              <w:spacing w:after="0"/>
              <w:rPr>
                <w:sz w:val="20"/>
                <w:szCs w:val="20"/>
                <w:color w:val="auto"/>
              </w:rPr>
            </w:pPr>
            <w:r>
              <w:rPr>
                <w:rFonts w:ascii="Arial" w:cs="Arial" w:eastAsia="Arial" w:hAnsi="Arial"/>
                <w:sz w:val="18"/>
                <w:szCs w:val="18"/>
                <w:i w:val="1"/>
                <w:iCs w:val="1"/>
                <w:color w:val="auto"/>
              </w:rPr>
              <w:t>Once Corporate Center</w:t>
            </w:r>
          </w:p>
        </w:tc>
        <w:tc>
          <w:tcPr>
            <w:tcW w:w="154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156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BFBFBF"/>
            </w:tcBorders>
            <w:shd w:val="clear" w:color="auto" w:fill="F2F2F2"/>
          </w:tcPr>
          <w:p>
            <w:pPr>
              <w:ind w:left="380"/>
              <w:spacing w:after="0"/>
              <w:rPr>
                <w:sz w:val="20"/>
                <w:szCs w:val="20"/>
                <w:color w:val="auto"/>
              </w:rPr>
            </w:pPr>
            <w:r>
              <w:rPr>
                <w:rFonts w:ascii="Arial" w:cs="Arial" w:eastAsia="Arial" w:hAnsi="Arial"/>
                <w:sz w:val="18"/>
                <w:szCs w:val="18"/>
                <w:i w:val="1"/>
                <w:iCs w:val="1"/>
                <w:color w:val="auto"/>
              </w:rPr>
              <w:t>Rye, NY 10580-1435</w:t>
            </w:r>
          </w:p>
        </w:tc>
        <w:tc>
          <w:tcPr>
            <w:tcW w:w="1540" w:type="dxa"/>
            <w:vAlign w:val="bottom"/>
            <w:tcBorders>
              <w:bottom w:val="single" w:sz="8" w:color="BFBFBF"/>
            </w:tcBorders>
            <w:shd w:val="clear" w:color="auto" w:fill="F2F2F2"/>
          </w:tcPr>
          <w:p>
            <w:pPr>
              <w:spacing w:after="0"/>
              <w:rPr>
                <w:sz w:val="20"/>
                <w:szCs w:val="20"/>
                <w:color w:val="auto"/>
              </w:rPr>
            </w:pPr>
          </w:p>
        </w:tc>
        <w:tc>
          <w:tcPr>
            <w:tcW w:w="1220" w:type="dxa"/>
            <w:vAlign w:val="bottom"/>
            <w:tcBorders>
              <w:bottom w:val="single" w:sz="8" w:color="BFBFBF"/>
            </w:tcBorders>
            <w:shd w:val="clear" w:color="auto" w:fill="F2F2F2"/>
          </w:tcPr>
          <w:p>
            <w:pPr>
              <w:spacing w:after="0"/>
              <w:rPr>
                <w:sz w:val="20"/>
                <w:szCs w:val="20"/>
                <w:color w:val="auto"/>
              </w:rPr>
            </w:pPr>
          </w:p>
        </w:tc>
        <w:tc>
          <w:tcPr>
            <w:tcW w:w="1560" w:type="dxa"/>
            <w:vAlign w:val="bottom"/>
            <w:tcBorders>
              <w:bottom w:val="single" w:sz="8" w:color="BFBFBF"/>
            </w:tcBorders>
            <w:shd w:val="clear" w:color="auto" w:fill="F2F2F2"/>
          </w:tcPr>
          <w:p>
            <w:pPr>
              <w:spacing w:after="0"/>
              <w:rPr>
                <w:sz w:val="20"/>
                <w:szCs w:val="20"/>
                <w:color w:val="auto"/>
              </w:rPr>
            </w:pPr>
          </w:p>
        </w:tc>
        <w:tc>
          <w:tcPr>
            <w:tcW w:w="1220" w:type="dxa"/>
            <w:vAlign w:val="bottom"/>
            <w:tcBorders>
              <w:bottom w:val="single" w:sz="8" w:color="BFBFBF"/>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140"/>
              <w:spacing w:after="0"/>
              <w:rPr>
                <w:sz w:val="20"/>
                <w:szCs w:val="20"/>
                <w:color w:val="auto"/>
              </w:rPr>
            </w:pPr>
            <w:r>
              <w:rPr>
                <w:rFonts w:ascii="Arial" w:cs="Arial" w:eastAsia="Arial" w:hAnsi="Arial"/>
                <w:sz w:val="18"/>
                <w:szCs w:val="18"/>
                <w:b w:val="1"/>
                <w:bCs w:val="1"/>
                <w:color w:val="0033A0"/>
              </w:rPr>
              <w:t>The Vanguard Group</w:t>
            </w:r>
            <w:r>
              <w:rPr>
                <w:rFonts w:ascii="Arial" w:cs="Arial" w:eastAsia="Arial" w:hAnsi="Arial"/>
                <w:sz w:val="15"/>
                <w:szCs w:val="15"/>
                <w:b w:val="1"/>
                <w:bCs w:val="1"/>
                <w:color w:val="0033A0"/>
              </w:rPr>
              <w:t>(5)</w:t>
            </w:r>
          </w:p>
        </w:tc>
        <w:tc>
          <w:tcPr>
            <w:tcW w:w="1540" w:type="dxa"/>
            <w:vAlign w:val="bottom"/>
          </w:tcPr>
          <w:p>
            <w:pPr>
              <w:jc w:val="right"/>
              <w:ind w:right="202"/>
              <w:spacing w:after="0"/>
              <w:rPr>
                <w:sz w:val="20"/>
                <w:szCs w:val="20"/>
                <w:color w:val="auto"/>
              </w:rPr>
            </w:pPr>
            <w:r>
              <w:rPr>
                <w:rFonts w:ascii="Arial" w:cs="Arial" w:eastAsia="Arial" w:hAnsi="Arial"/>
                <w:sz w:val="16"/>
                <w:szCs w:val="16"/>
                <w:color w:val="auto"/>
              </w:rPr>
              <w:t>5,885,855</w:t>
            </w:r>
          </w:p>
        </w:tc>
        <w:tc>
          <w:tcPr>
            <w:tcW w:w="1220" w:type="dxa"/>
            <w:vAlign w:val="bottom"/>
          </w:tcPr>
          <w:p>
            <w:pPr>
              <w:jc w:val="center"/>
              <w:ind w:right="81"/>
              <w:spacing w:after="0"/>
              <w:rPr>
                <w:sz w:val="20"/>
                <w:szCs w:val="20"/>
                <w:color w:val="auto"/>
              </w:rPr>
            </w:pPr>
            <w:r>
              <w:rPr>
                <w:rFonts w:ascii="Arial" w:cs="Arial" w:eastAsia="Arial" w:hAnsi="Arial"/>
                <w:sz w:val="16"/>
                <w:szCs w:val="16"/>
                <w:color w:val="auto"/>
                <w:w w:val="93"/>
              </w:rPr>
              <w:t>8.4%</w:t>
            </w:r>
          </w:p>
        </w:tc>
        <w:tc>
          <w:tcPr>
            <w:tcW w:w="1560" w:type="dxa"/>
            <w:vAlign w:val="bottom"/>
          </w:tcPr>
          <w:p>
            <w:pPr>
              <w:ind w:left="680"/>
              <w:spacing w:after="0"/>
              <w:rPr>
                <w:sz w:val="20"/>
                <w:szCs w:val="20"/>
                <w:color w:val="auto"/>
              </w:rPr>
            </w:pPr>
            <w:r>
              <w:rPr>
                <w:rFonts w:ascii="Arial" w:cs="Arial" w:eastAsia="Arial" w:hAnsi="Arial"/>
                <w:sz w:val="16"/>
                <w:szCs w:val="16"/>
                <w:color w:val="auto"/>
              </w:rPr>
              <w:t>—</w:t>
            </w:r>
          </w:p>
        </w:tc>
        <w:tc>
          <w:tcPr>
            <w:tcW w:w="122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i w:val="1"/>
                <w:iCs w:val="1"/>
                <w:color w:val="auto"/>
              </w:rPr>
              <w:t>100 Vanguard Blvd.</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BFBFBF"/>
            </w:tcBorders>
          </w:tcPr>
          <w:p>
            <w:pPr>
              <w:ind w:left="380"/>
              <w:spacing w:after="0"/>
              <w:rPr>
                <w:sz w:val="20"/>
                <w:szCs w:val="20"/>
                <w:color w:val="auto"/>
              </w:rPr>
            </w:pPr>
            <w:r>
              <w:rPr>
                <w:rFonts w:ascii="Arial" w:cs="Arial" w:eastAsia="Arial" w:hAnsi="Arial"/>
                <w:sz w:val="18"/>
                <w:szCs w:val="18"/>
                <w:i w:val="1"/>
                <w:iCs w:val="1"/>
                <w:color w:val="auto"/>
              </w:rPr>
              <w:t>Malvern, PA 19355</w:t>
            </w:r>
          </w:p>
        </w:tc>
        <w:tc>
          <w:tcPr>
            <w:tcW w:w="154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156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F2F2F2"/>
          </w:tcPr>
          <w:p>
            <w:pPr>
              <w:ind w:left="140"/>
              <w:spacing w:after="0"/>
              <w:rPr>
                <w:sz w:val="20"/>
                <w:szCs w:val="20"/>
                <w:color w:val="auto"/>
              </w:rPr>
            </w:pPr>
            <w:r>
              <w:rPr>
                <w:rFonts w:ascii="Arial" w:cs="Arial" w:eastAsia="Arial" w:hAnsi="Arial"/>
                <w:sz w:val="18"/>
                <w:szCs w:val="18"/>
                <w:b w:val="1"/>
                <w:bCs w:val="1"/>
                <w:color w:val="0033A0"/>
              </w:rPr>
              <w:t>Dimensional Fund Advisors LP</w:t>
            </w:r>
            <w:r>
              <w:rPr>
                <w:rFonts w:ascii="Arial" w:cs="Arial" w:eastAsia="Arial" w:hAnsi="Arial"/>
                <w:sz w:val="15"/>
                <w:szCs w:val="15"/>
                <w:b w:val="1"/>
                <w:bCs w:val="1"/>
                <w:color w:val="0033A0"/>
              </w:rPr>
              <w:t>(6)</w:t>
            </w:r>
          </w:p>
        </w:tc>
        <w:tc>
          <w:tcPr>
            <w:tcW w:w="15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5,586,131</w:t>
            </w:r>
          </w:p>
        </w:tc>
        <w:tc>
          <w:tcPr>
            <w:tcW w:w="1220" w:type="dxa"/>
            <w:vAlign w:val="bottom"/>
            <w:shd w:val="clear" w:color="auto" w:fill="F2F2F2"/>
          </w:tcPr>
          <w:p>
            <w:pPr>
              <w:jc w:val="center"/>
              <w:ind w:right="81"/>
              <w:spacing w:after="0"/>
              <w:rPr>
                <w:sz w:val="20"/>
                <w:szCs w:val="20"/>
                <w:color w:val="auto"/>
              </w:rPr>
            </w:pPr>
            <w:r>
              <w:rPr>
                <w:rFonts w:ascii="Arial" w:cs="Arial" w:eastAsia="Arial" w:hAnsi="Arial"/>
                <w:sz w:val="16"/>
                <w:szCs w:val="16"/>
                <w:color w:val="auto"/>
                <w:w w:val="93"/>
              </w:rPr>
              <w:t>8.0%</w:t>
            </w:r>
          </w:p>
        </w:tc>
        <w:tc>
          <w:tcPr>
            <w:tcW w:w="1560" w:type="dxa"/>
            <w:vAlign w:val="bottom"/>
            <w:shd w:val="clear" w:color="auto" w:fill="F2F2F2"/>
          </w:tcPr>
          <w:p>
            <w:pPr>
              <w:ind w:left="6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700" w:type="dxa"/>
            <w:vAlign w:val="bottom"/>
            <w:shd w:val="clear" w:color="auto" w:fill="F2F2F2"/>
          </w:tcPr>
          <w:p>
            <w:pPr>
              <w:ind w:left="380"/>
              <w:spacing w:after="0"/>
              <w:rPr>
                <w:sz w:val="20"/>
                <w:szCs w:val="20"/>
                <w:color w:val="auto"/>
              </w:rPr>
            </w:pPr>
            <w:r>
              <w:rPr>
                <w:rFonts w:ascii="Arial" w:cs="Arial" w:eastAsia="Arial" w:hAnsi="Arial"/>
                <w:sz w:val="18"/>
                <w:szCs w:val="18"/>
                <w:i w:val="1"/>
                <w:iCs w:val="1"/>
                <w:color w:val="auto"/>
              </w:rPr>
              <w:t>Building One</w:t>
            </w:r>
          </w:p>
        </w:tc>
        <w:tc>
          <w:tcPr>
            <w:tcW w:w="154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156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2F2F2"/>
          </w:tcPr>
          <w:p>
            <w:pPr>
              <w:ind w:left="380"/>
              <w:spacing w:after="0"/>
              <w:rPr>
                <w:sz w:val="20"/>
                <w:szCs w:val="20"/>
                <w:color w:val="auto"/>
              </w:rPr>
            </w:pPr>
            <w:r>
              <w:rPr>
                <w:rFonts w:ascii="Arial" w:cs="Arial" w:eastAsia="Arial" w:hAnsi="Arial"/>
                <w:sz w:val="18"/>
                <w:szCs w:val="18"/>
                <w:i w:val="1"/>
                <w:iCs w:val="1"/>
                <w:color w:val="auto"/>
              </w:rPr>
              <w:t>6300 Bee Cave Road</w:t>
            </w:r>
          </w:p>
        </w:tc>
        <w:tc>
          <w:tcPr>
            <w:tcW w:w="154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156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BFBFBF"/>
            </w:tcBorders>
            <w:shd w:val="clear" w:color="auto" w:fill="F2F2F2"/>
          </w:tcPr>
          <w:p>
            <w:pPr>
              <w:ind w:left="380"/>
              <w:spacing w:after="0"/>
              <w:rPr>
                <w:sz w:val="20"/>
                <w:szCs w:val="20"/>
                <w:color w:val="auto"/>
              </w:rPr>
            </w:pPr>
            <w:r>
              <w:rPr>
                <w:rFonts w:ascii="Arial" w:cs="Arial" w:eastAsia="Arial" w:hAnsi="Arial"/>
                <w:sz w:val="18"/>
                <w:szCs w:val="18"/>
                <w:i w:val="1"/>
                <w:iCs w:val="1"/>
                <w:color w:val="auto"/>
              </w:rPr>
              <w:t>Austin, TX 78746</w:t>
            </w:r>
          </w:p>
        </w:tc>
        <w:tc>
          <w:tcPr>
            <w:tcW w:w="1540" w:type="dxa"/>
            <w:vAlign w:val="bottom"/>
            <w:tcBorders>
              <w:bottom w:val="single" w:sz="8" w:color="BFBFBF"/>
            </w:tcBorders>
            <w:shd w:val="clear" w:color="auto" w:fill="F2F2F2"/>
          </w:tcPr>
          <w:p>
            <w:pPr>
              <w:spacing w:after="0"/>
              <w:rPr>
                <w:sz w:val="20"/>
                <w:szCs w:val="20"/>
                <w:color w:val="auto"/>
              </w:rPr>
            </w:pPr>
          </w:p>
        </w:tc>
        <w:tc>
          <w:tcPr>
            <w:tcW w:w="1220" w:type="dxa"/>
            <w:vAlign w:val="bottom"/>
            <w:tcBorders>
              <w:bottom w:val="single" w:sz="8" w:color="BFBFBF"/>
            </w:tcBorders>
            <w:shd w:val="clear" w:color="auto" w:fill="F2F2F2"/>
          </w:tcPr>
          <w:p>
            <w:pPr>
              <w:spacing w:after="0"/>
              <w:rPr>
                <w:sz w:val="20"/>
                <w:szCs w:val="20"/>
                <w:color w:val="auto"/>
              </w:rPr>
            </w:pPr>
          </w:p>
        </w:tc>
        <w:tc>
          <w:tcPr>
            <w:tcW w:w="1560" w:type="dxa"/>
            <w:vAlign w:val="bottom"/>
            <w:tcBorders>
              <w:bottom w:val="single" w:sz="8" w:color="BFBFBF"/>
            </w:tcBorders>
            <w:shd w:val="clear" w:color="auto" w:fill="F2F2F2"/>
          </w:tcPr>
          <w:p>
            <w:pPr>
              <w:spacing w:after="0"/>
              <w:rPr>
                <w:sz w:val="20"/>
                <w:szCs w:val="20"/>
                <w:color w:val="auto"/>
              </w:rPr>
            </w:pPr>
          </w:p>
        </w:tc>
        <w:tc>
          <w:tcPr>
            <w:tcW w:w="1220" w:type="dxa"/>
            <w:vAlign w:val="bottom"/>
            <w:tcBorders>
              <w:bottom w:val="single" w:sz="8" w:color="BFBFBF"/>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140"/>
              <w:spacing w:after="0"/>
              <w:rPr>
                <w:sz w:val="20"/>
                <w:szCs w:val="20"/>
                <w:color w:val="auto"/>
              </w:rPr>
            </w:pPr>
            <w:r>
              <w:rPr>
                <w:rFonts w:ascii="Arial" w:cs="Arial" w:eastAsia="Arial" w:hAnsi="Arial"/>
                <w:sz w:val="18"/>
                <w:szCs w:val="18"/>
                <w:b w:val="1"/>
                <w:bCs w:val="1"/>
                <w:color w:val="0033A0"/>
              </w:rPr>
              <w:t>Victory Capital Management, Inc.</w:t>
            </w:r>
            <w:r>
              <w:rPr>
                <w:rFonts w:ascii="Arial" w:cs="Arial" w:eastAsia="Arial" w:hAnsi="Arial"/>
                <w:sz w:val="15"/>
                <w:szCs w:val="15"/>
                <w:b w:val="1"/>
                <w:bCs w:val="1"/>
                <w:color w:val="0033A0"/>
              </w:rPr>
              <w:t>(7)</w:t>
            </w:r>
          </w:p>
        </w:tc>
        <w:tc>
          <w:tcPr>
            <w:tcW w:w="1540" w:type="dxa"/>
            <w:vAlign w:val="bottom"/>
          </w:tcPr>
          <w:p>
            <w:pPr>
              <w:jc w:val="right"/>
              <w:ind w:right="202"/>
              <w:spacing w:after="0"/>
              <w:rPr>
                <w:sz w:val="20"/>
                <w:szCs w:val="20"/>
                <w:color w:val="auto"/>
              </w:rPr>
            </w:pPr>
            <w:r>
              <w:rPr>
                <w:rFonts w:ascii="Arial" w:cs="Arial" w:eastAsia="Arial" w:hAnsi="Arial"/>
                <w:sz w:val="16"/>
                <w:szCs w:val="16"/>
                <w:color w:val="auto"/>
              </w:rPr>
              <w:t>4,583,062</w:t>
            </w:r>
          </w:p>
        </w:tc>
        <w:tc>
          <w:tcPr>
            <w:tcW w:w="1220" w:type="dxa"/>
            <w:vAlign w:val="bottom"/>
          </w:tcPr>
          <w:p>
            <w:pPr>
              <w:jc w:val="center"/>
              <w:ind w:right="81"/>
              <w:spacing w:after="0"/>
              <w:rPr>
                <w:sz w:val="20"/>
                <w:szCs w:val="20"/>
                <w:color w:val="auto"/>
              </w:rPr>
            </w:pPr>
            <w:r>
              <w:rPr>
                <w:rFonts w:ascii="Arial" w:cs="Arial" w:eastAsia="Arial" w:hAnsi="Arial"/>
                <w:sz w:val="16"/>
                <w:szCs w:val="16"/>
                <w:color w:val="auto"/>
                <w:w w:val="93"/>
              </w:rPr>
              <w:t>6.6%</w:t>
            </w:r>
          </w:p>
        </w:tc>
        <w:tc>
          <w:tcPr>
            <w:tcW w:w="1560" w:type="dxa"/>
            <w:vAlign w:val="bottom"/>
          </w:tcPr>
          <w:p>
            <w:pPr>
              <w:ind w:left="680"/>
              <w:spacing w:after="0"/>
              <w:rPr>
                <w:sz w:val="20"/>
                <w:szCs w:val="20"/>
                <w:color w:val="auto"/>
              </w:rPr>
            </w:pPr>
            <w:r>
              <w:rPr>
                <w:rFonts w:ascii="Arial" w:cs="Arial" w:eastAsia="Arial" w:hAnsi="Arial"/>
                <w:sz w:val="16"/>
                <w:szCs w:val="16"/>
                <w:color w:val="auto"/>
              </w:rPr>
              <w:t>—</w:t>
            </w:r>
          </w:p>
        </w:tc>
        <w:tc>
          <w:tcPr>
            <w:tcW w:w="122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i w:val="1"/>
                <w:iCs w:val="1"/>
                <w:color w:val="auto"/>
              </w:rPr>
              <w:t>4900 Tiedeman Rd. 4th Floor</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00" w:type="dxa"/>
            <w:vAlign w:val="bottom"/>
            <w:tcBorders>
              <w:bottom w:val="single" w:sz="8" w:color="BFBFBF"/>
            </w:tcBorders>
          </w:tcPr>
          <w:p>
            <w:pPr>
              <w:ind w:left="380"/>
              <w:spacing w:after="0"/>
              <w:rPr>
                <w:sz w:val="20"/>
                <w:szCs w:val="20"/>
                <w:color w:val="auto"/>
              </w:rPr>
            </w:pPr>
            <w:r>
              <w:rPr>
                <w:rFonts w:ascii="Arial" w:cs="Arial" w:eastAsia="Arial" w:hAnsi="Arial"/>
                <w:sz w:val="18"/>
                <w:szCs w:val="18"/>
                <w:i w:val="1"/>
                <w:iCs w:val="1"/>
                <w:color w:val="auto"/>
              </w:rPr>
              <w:t>Brooklyn, OH 44144</w:t>
            </w:r>
          </w:p>
        </w:tc>
        <w:tc>
          <w:tcPr>
            <w:tcW w:w="1540" w:type="dxa"/>
            <w:vAlign w:val="bottom"/>
            <w:tcBorders>
              <w:bottom w:val="single" w:sz="8" w:color="BFBFBF"/>
            </w:tcBorders>
          </w:tcPr>
          <w:p>
            <w:pPr>
              <w:spacing w:after="0"/>
              <w:rPr>
                <w:sz w:val="21"/>
                <w:szCs w:val="21"/>
                <w:color w:val="auto"/>
              </w:rPr>
            </w:pPr>
          </w:p>
        </w:tc>
        <w:tc>
          <w:tcPr>
            <w:tcW w:w="1220" w:type="dxa"/>
            <w:vAlign w:val="bottom"/>
            <w:tcBorders>
              <w:bottom w:val="single" w:sz="8" w:color="BFBFBF"/>
            </w:tcBorders>
          </w:tcPr>
          <w:p>
            <w:pPr>
              <w:spacing w:after="0"/>
              <w:rPr>
                <w:sz w:val="21"/>
                <w:szCs w:val="21"/>
                <w:color w:val="auto"/>
              </w:rPr>
            </w:pPr>
          </w:p>
        </w:tc>
        <w:tc>
          <w:tcPr>
            <w:tcW w:w="1560" w:type="dxa"/>
            <w:vAlign w:val="bottom"/>
            <w:tcBorders>
              <w:bottom w:val="single" w:sz="8" w:color="BFBFBF"/>
            </w:tcBorders>
          </w:tcPr>
          <w:p>
            <w:pPr>
              <w:spacing w:after="0"/>
              <w:rPr>
                <w:sz w:val="21"/>
                <w:szCs w:val="21"/>
                <w:color w:val="auto"/>
              </w:rPr>
            </w:pPr>
          </w:p>
        </w:tc>
        <w:tc>
          <w:tcPr>
            <w:tcW w:w="1220" w:type="dxa"/>
            <w:vAlign w:val="bottom"/>
            <w:tcBorders>
              <w:bottom w:val="single" w:sz="8" w:color="BFBFB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260" w:hanging="252"/>
        <w:spacing w:after="0" w:line="242"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information in the table and this footnote is based on information provided to the Company by Miramar Services, Inc. and information contained in Amendment 10 (dated September 23, 2020) to a Schedule 13D filed with the Securities and Exchange Commission, as updated by subsequent Section 16 filings by certain of the reporting persons, by descendants of Robert P. Scripps, descendants of John P. Scripps and certain trusts of which descendants of John P. Scripps or Robert P. Scripps are trustees or beneficiaries, all of whom or which are Signatories to the Scripps Family Agreement, which governs the voting of all Common Voting Shares held by them. Miramar Services, Inc. provides administrative services to certain members of the Scripps Family. The Signatories to the Scripps Family Agreement report shared voting power with each other with respect to the Common Voting Shares shown in the table. In addition to these Common Voting Shares, according to such Amendment to Schedule 13D, two of the Signatories act as co-trustees with respect to 534,666 Common Voting Shares on behalf of a minor descendant who is not a party to the Scripps Family Agreement, and another Signatory acts as a trust advisor to trusts holding 267,333 Common Voting Shares for the benefit of certain minor descendants who are not parties to the Scripps Family Agreement. Signatories of the Scripps Family Agreement also beneficially own 11,721,556 Class A Common Shares (not including Class A Common Shares into which the common voting shares are convertible). Class A Common Shares are not subject to the Scripps Family Agreement. The two Signatories mentioned above who act as co-trustees on behalf of a minor descendant who is not a party to the Scripps Family Agreement may be deemed to share beneficial ownership of a total of 653,204 Class A Common Shares held for the benefit of such minor descendant. The Signatory referred to above who acts as a trust advisor to trusts for the benefit of certain other minor descendants who are not parties to the Scripps Family Agreement may be deemed to beneficially own 326,601 Class A Common Shares as trust advisor for such minor descendants. No single individual or trust that is a Signatory beneficially owns 5% or more of the Company’s outstanding Class A Common Shares. The following Signatories may be deemed to beneficially own, or share beneficial ownership with other Signatories of, more than 5% of the Common Voting Shares as a result of direct ownership or indirect ownership as trustees for various trusts or as co-guardians or advisors for the above-referenced minors: Mary Ann S. Sanchez (9.0%); Barbara Victoria Scripps Evans (6.5%); Elizabeth A.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 w:name="page14"/>
    <w:bookmarkEnd w:id="13"/>
    <w:p>
      <w:pPr>
        <w:jc w:val="both"/>
        <w:ind w:left="252"/>
        <w:spacing w:after="0" w:line="242" w:lineRule="auto"/>
        <w:rPr>
          <w:sz w:val="20"/>
          <w:szCs w:val="20"/>
          <w:color w:val="auto"/>
        </w:rPr>
      </w:pPr>
      <w:r>
        <w:rPr>
          <w:rFonts w:ascii="Arial" w:cs="Arial" w:eastAsia="Arial" w:hAnsi="Arial"/>
          <w:sz w:val="13"/>
          <w:szCs w:val="13"/>
          <w:color w:val="auto"/>
        </w:rPr>
        <w:t>(6.7%); Mary Peirce (6.3%); Paul K. Scripps (6.3%); Virginia S. Vasquez (6.4%); Charles E. Scripps, Jr. (5.2%); Eaton M. Scripps (5.2%); and Edward W. Scripps, Jr. (5.2%). See “Related Party Transactions - Scripps Family Agreement” below. The reporting parties filing the Schedule 13D are Virginia S. Vasquez, Rebecca Scripps Brickner, Edward W. Scripps, Jr., Corina S. Granado, Jimmy R. Scripps, Margaret Scripps Klenzing, Mary Ann S. Sanchez, William H. Scripps, Marilyn J. Scripps, The Adam R. Scripps Trust dated October 5, 1992, as restated on November 28, 2000, October 25, 2002 and May 6, 2009, as further amended on March 16, 2017, William A. Scripps, Gerald J. Scripps, Charles E. Scripps, Jr., Eli W. Scripps, Jonathan L. Scripps, Molly E. McCabe, Barbara Victoria Scripps Evans, John P. Scripps Trust under agreement dated 2/10/77 FBO Peter M. Scripps, John P. Scripps Trust under agreement dated 2/10/77 FBO Paul K. Scripps, John P. Scripps Trust Exempt Trust under agreement dated 2/10/77, John P. Scripps Trust under agreement dated 2/10/77 FBO Barbara Scripps Evans, The Marital Trust of the La Dow Family Trust, Anne M. La Dow Trust under agreement dated 10/27/2011, The La Dow Family Trust under agreement dated 6/29/2004, John Peter Scripps 2013 Revocable Trust under agreement dated 12/20/13, John P. Scripps Trust FBO Ellen McRae Scripps under agreement dated 12/28/84, Ellen M. Scripps Revocable Trust and agreement dated 4/17/14, Paul K. Scripps Family Revocable Trust under agreement dated 2/7/1994, Thomas S. Evans Irrevocable Trust under agreement dated 11/13/2012, Scripps Family 1992 Revocable Trust under agreement dated 6/9/92, Thomas S. Evans, Douglas A. Evans, Julia Scripps Heidt, Paul K. Scripps, Peter R. La Dow, J. Sebastian Scripps, Anne M. La Dow, Wendy E. Scripps, Elizabeth A. Logan, Cynthia J. Scripps, John P. Scripps, Mary Peirce, Megan Scripps Tagliaferri, Eva Scripps Attal, Kathy Scripps, Eaton M. Scripps, Wesley W. Scripps, Ellen M. Scripps, Cody Dubuc, Careen Cardin, Sam D. F. Scripps, R. Michael Scagliotti, William A. Scripps, Jr., Welland H. Scripps, Kendall S. Barmonde, Charles L. Barmonde, Manuel E. Granado, Geraldine Scripps Granado, Raymundo H. Granado, Jr., Anthony S. Granado, Ellen B. Granado, Crystal Vasquez Lozano, Elizabeth Scripps, James Bryce Vasquez, John Patrick Scripps, Keon Korey Vasquez, Peggy Scripps Evans, Samuel Joseph Logan, Maxwell Christopher Logan, Savannah Brickner, Monica Holcomb, Samantha J. Brickner, Nathanial W. Heidt, Austin S. Heidt, Robert S. Heidt III, Jessica L. Hoerster, Jenny Sue Scripps Mitchell, Vanessa L. Sanchez, Veronica E. Sanchez, Brittany Jean Scripps and Shannon Leigh Howard.</w:t>
      </w:r>
    </w:p>
    <w:p>
      <w:pPr>
        <w:spacing w:after="0" w:line="74" w:lineRule="exact"/>
        <w:rPr>
          <w:sz w:val="20"/>
          <w:szCs w:val="20"/>
          <w:color w:val="auto"/>
        </w:rPr>
      </w:pPr>
    </w:p>
    <w:p>
      <w:pPr>
        <w:jc w:val="both"/>
        <w:ind w:left="252" w:hanging="252"/>
        <w:spacing w:after="0" w:line="228" w:lineRule="auto"/>
        <w:tabs>
          <w:tab w:leader="none" w:pos="2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Columbia Insurance Company (“Columbia”) is a wholly-owned subsidiary of Berkshire Hathaway Inc., which is controlled by Warren E. Buffett. As part of the financing of our acquisition of ION Media Networks, on January 7, 2021, we issued $600 million of Series A Preferred Shares to Columbia and granted Columbia a warrant to purchase $300 million of our Class A Common Shares at $13 per share, or a total of 23,076,923 Class A Common Shares. The warrant is exercisable from the date of grant until the first anniversary of the redemption of the Series A Preferred Shares. The percentage of Class A Common Shares shown in the table as beneficially owned by Columbia is calculated as if the warrant had been exercised as of January 7, 2021. Columbia filed a Schedule 13G with the Securities and Exchange Commission with respect to the Company’s Class A Common Shares on January 15, 2021. The information in the table is based on the information contained in such filing. Such report states that Columbia would share voting and investment power over the shares set forth in the table with Berkshire Hathaway and Warren E. Buffett.</w:t>
      </w:r>
    </w:p>
    <w:p>
      <w:pPr>
        <w:spacing w:after="0" w:line="76" w:lineRule="exact"/>
        <w:rPr>
          <w:rFonts w:ascii="Arial" w:cs="Arial" w:eastAsia="Arial" w:hAnsi="Arial"/>
          <w:sz w:val="14"/>
          <w:szCs w:val="14"/>
          <w:color w:val="auto"/>
        </w:rPr>
      </w:pPr>
    </w:p>
    <w:p>
      <w:pPr>
        <w:jc w:val="both"/>
        <w:ind w:left="252" w:hanging="252"/>
        <w:spacing w:after="0" w:line="238" w:lineRule="auto"/>
        <w:tabs>
          <w:tab w:leader="none" w:pos="2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Blackrock, Inc. filed Amendment No. 11 to Schedule 13G with the Securities and Exchange Commission with respect to the Company’s Class A Common Shares on January 26, 2021. The information in the table is based on the information contained in such filing for the year ended 2020. Such report states that Blackrock, Inc. has sole voting power over 8,939,237 shares and sole investment power over 9,070,704 shares.</w:t>
      </w:r>
    </w:p>
    <w:p>
      <w:pPr>
        <w:spacing w:after="0" w:line="74" w:lineRule="exact"/>
        <w:rPr>
          <w:rFonts w:ascii="Arial" w:cs="Arial" w:eastAsia="Arial" w:hAnsi="Arial"/>
          <w:sz w:val="14"/>
          <w:szCs w:val="14"/>
          <w:color w:val="auto"/>
        </w:rPr>
      </w:pPr>
    </w:p>
    <w:p>
      <w:pPr>
        <w:jc w:val="both"/>
        <w:ind w:left="252" w:hanging="252"/>
        <w:spacing w:after="0" w:line="238" w:lineRule="auto"/>
        <w:tabs>
          <w:tab w:leader="none" w:pos="2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GAMCO Investors, Inc. filed Amendment No. 24 to Schedule 13D with the Securities and Exchange Commission with respect to the Company’s Class A Common Shares on February 10, 2021. The information in the table is based on the information as of February 10, 2021 contained in such filing. Such report states that GAMCO Investors, Inc. and its affiliates have sole voting power over 6,040,383 shares and sole investment power over 6,306,967 shares.</w:t>
      </w:r>
    </w:p>
    <w:p>
      <w:pPr>
        <w:spacing w:after="0" w:line="74" w:lineRule="exact"/>
        <w:rPr>
          <w:rFonts w:ascii="Arial" w:cs="Arial" w:eastAsia="Arial" w:hAnsi="Arial"/>
          <w:sz w:val="14"/>
          <w:szCs w:val="14"/>
          <w:color w:val="auto"/>
        </w:rPr>
      </w:pPr>
    </w:p>
    <w:p>
      <w:pPr>
        <w:jc w:val="both"/>
        <w:ind w:left="252" w:hanging="252"/>
        <w:spacing w:after="0" w:line="238" w:lineRule="auto"/>
        <w:tabs>
          <w:tab w:leader="none" w:pos="2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Vanguard Group filed Amendment No. 5 to Schedule 13G with the Securities and Exchange Commission with respect to the Company’s Class A Common Shares on February 8, 2021. The information in the table is based on the information contained in such filing for the year ended 2020. Such report states that The Vanguard Group has shared voting power over 56,905 shares, sole investment power over 5,780,538 shares and shared investment power over 105,317 shares.</w:t>
      </w:r>
    </w:p>
    <w:p>
      <w:pPr>
        <w:spacing w:after="0" w:line="74" w:lineRule="exact"/>
        <w:rPr>
          <w:rFonts w:ascii="Arial" w:cs="Arial" w:eastAsia="Arial" w:hAnsi="Arial"/>
          <w:sz w:val="14"/>
          <w:szCs w:val="14"/>
          <w:color w:val="auto"/>
        </w:rPr>
      </w:pPr>
    </w:p>
    <w:p>
      <w:pPr>
        <w:jc w:val="both"/>
        <w:ind w:left="252" w:hanging="252"/>
        <w:spacing w:after="0" w:line="238" w:lineRule="auto"/>
        <w:tabs>
          <w:tab w:leader="none" w:pos="2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Dimensional Fund Advisors LP filed Amendment No. 8 to Schedule 13G with the Securities and Exchange Commission with respect to the Company’s Class A Common Shares on February 12, 2020. The information in the table is based on the information contained in such filing for the year ended 2019. Such report states that Dimensional Fund Advisors LP has sole voting power over 5,450,163 shares and sole investment power over 5,586,131 shares.</w:t>
      </w:r>
    </w:p>
    <w:p>
      <w:pPr>
        <w:spacing w:after="0" w:line="74" w:lineRule="exact"/>
        <w:rPr>
          <w:rFonts w:ascii="Arial" w:cs="Arial" w:eastAsia="Arial" w:hAnsi="Arial"/>
          <w:sz w:val="14"/>
          <w:szCs w:val="14"/>
          <w:color w:val="auto"/>
        </w:rPr>
      </w:pPr>
    </w:p>
    <w:p>
      <w:pPr>
        <w:jc w:val="both"/>
        <w:ind w:left="252" w:hanging="252"/>
        <w:spacing w:after="0" w:line="238" w:lineRule="auto"/>
        <w:tabs>
          <w:tab w:leader="none" w:pos="2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Victory Capital Management, Inc. filed an Amendment to Schedule 13G with the Securities and Exchange Commission with respect to the Company's Class A Common Shares on February 3, 2021. The information in the table is based on the information contained in such filing for the year ended 2020. Such report states that Victory Capital Management, Inc. has sole voting power over 4,519,647 shares and sole investment power over 4,583,062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92"/>
        <w:spacing w:after="0"/>
        <w:tabs>
          <w:tab w:leader="none" w:pos="5672" w:val="left"/>
          <w:tab w:leader="none" w:pos="9612"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20574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4" w:name="page15"/>
    <w:bookmarkEnd w:id="14"/>
    <w:p>
      <w:pPr>
        <w:ind w:left="2900"/>
        <w:spacing w:after="0"/>
        <w:rPr>
          <w:sz w:val="20"/>
          <w:szCs w:val="20"/>
          <w:color w:val="auto"/>
        </w:rPr>
      </w:pPr>
      <w:r>
        <w:rPr>
          <w:rFonts w:ascii="Arial" w:cs="Arial" w:eastAsia="Arial" w:hAnsi="Arial"/>
          <w:sz w:val="29"/>
          <w:szCs w:val="29"/>
          <w:b w:val="1"/>
          <w:bCs w:val="1"/>
          <w:color w:val="0033A0"/>
        </w:rPr>
        <w:t>Report on the Security Ownership of Management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information is set forth with respect to the Company’s Class A Common Shares and Common Voting Shares beneficially owned as of January 29, 2021, by each director and each nominee for election as a director of the Company, by each named executive officer, and by all directors and executive officers of the Company as a group. As of January 29, 2021, there were 69,815,084 Class A Common Shares outstanding and 11,932,722 Common Voting Shares outstanding. Unless otherwise indicated, the persons named in the table have sole voting and investment power with respect to all shares shown therein as being beneficially owned by them.</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Borders>
              <w:top w:val="single" w:sz="8" w:color="BFBFBF"/>
            </w:tcBorders>
            <w:vMerge w:val="restart"/>
            <w:shd w:val="clear" w:color="auto" w:fill="E6E6E6"/>
          </w:tcPr>
          <w:p>
            <w:pPr>
              <w:ind w:left="140"/>
              <w:spacing w:after="0"/>
              <w:rPr>
                <w:sz w:val="20"/>
                <w:szCs w:val="20"/>
                <w:color w:val="auto"/>
              </w:rPr>
            </w:pPr>
            <w:r>
              <w:rPr>
                <w:rFonts w:ascii="Arial" w:cs="Arial" w:eastAsia="Arial" w:hAnsi="Arial"/>
                <w:sz w:val="14"/>
                <w:szCs w:val="14"/>
                <w:b w:val="1"/>
                <w:bCs w:val="1"/>
                <w:color w:val="0033A0"/>
              </w:rPr>
              <w:t>Name of Individual or Number</w:t>
            </w:r>
          </w:p>
        </w:tc>
        <w:tc>
          <w:tcPr>
            <w:tcW w:w="1060" w:type="dxa"/>
            <w:vAlign w:val="bottom"/>
            <w:tcBorders>
              <w:top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3"/>
              </w:rPr>
              <w:t>Class A</w:t>
            </w:r>
          </w:p>
        </w:tc>
        <w:tc>
          <w:tcPr>
            <w:tcW w:w="1080" w:type="dxa"/>
            <w:vAlign w:val="bottom"/>
            <w:tcBorders>
              <w:top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0"/>
              </w:rPr>
              <w:t>Restricted</w:t>
            </w:r>
          </w:p>
        </w:tc>
        <w:tc>
          <w:tcPr>
            <w:tcW w:w="1220" w:type="dxa"/>
            <w:vAlign w:val="bottom"/>
            <w:tcBorders>
              <w:top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2"/>
              </w:rPr>
              <w:t>Total Class A</w:t>
            </w:r>
          </w:p>
        </w:tc>
        <w:tc>
          <w:tcPr>
            <w:tcW w:w="1000" w:type="dxa"/>
            <w:vAlign w:val="bottom"/>
            <w:tcBorders>
              <w:top w:val="single" w:sz="8" w:color="BFBFBF"/>
            </w:tcBorders>
            <w:vMerge w:val="restart"/>
            <w:shd w:val="clear" w:color="auto" w:fill="E6E6E6"/>
          </w:tcPr>
          <w:p>
            <w:pPr>
              <w:ind w:left="240"/>
              <w:spacing w:after="0"/>
              <w:rPr>
                <w:sz w:val="20"/>
                <w:szCs w:val="20"/>
                <w:color w:val="auto"/>
              </w:rPr>
            </w:pPr>
            <w:r>
              <w:rPr>
                <w:rFonts w:ascii="Arial" w:cs="Arial" w:eastAsia="Arial" w:hAnsi="Arial"/>
                <w:sz w:val="14"/>
                <w:szCs w:val="14"/>
                <w:b w:val="1"/>
                <w:bCs w:val="1"/>
                <w:color w:val="0033A0"/>
              </w:rPr>
              <w:t>Percent</w:t>
            </w:r>
          </w:p>
        </w:tc>
        <w:tc>
          <w:tcPr>
            <w:tcW w:w="1160" w:type="dxa"/>
            <w:vAlign w:val="bottom"/>
            <w:tcBorders>
              <w:top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5"/>
              </w:rPr>
              <w:t>Common</w:t>
            </w:r>
          </w:p>
        </w:tc>
        <w:tc>
          <w:tcPr>
            <w:tcW w:w="1100" w:type="dxa"/>
            <w:vAlign w:val="bottom"/>
            <w:tcBorders>
              <w:top w:val="single" w:sz="8" w:color="BFBFBF"/>
            </w:tcBorders>
            <w:vMerge w:val="restart"/>
            <w:shd w:val="clear" w:color="auto" w:fill="E6E6E6"/>
          </w:tcPr>
          <w:p>
            <w:pPr>
              <w:ind w:left="300"/>
              <w:spacing w:after="0"/>
              <w:rPr>
                <w:sz w:val="20"/>
                <w:szCs w:val="20"/>
                <w:color w:val="auto"/>
              </w:rPr>
            </w:pPr>
            <w:r>
              <w:rPr>
                <w:rFonts w:ascii="Arial" w:cs="Arial" w:eastAsia="Arial" w:hAnsi="Arial"/>
                <w:sz w:val="14"/>
                <w:szCs w:val="14"/>
                <w:b w:val="1"/>
                <w:bCs w:val="1"/>
                <w:color w:val="0033A0"/>
              </w:rPr>
              <w:t>Percent</w:t>
            </w:r>
          </w:p>
        </w:tc>
        <w:tc>
          <w:tcPr>
            <w:tcW w:w="0" w:type="dxa"/>
            <w:vAlign w:val="bottom"/>
          </w:tcPr>
          <w:p>
            <w:pPr>
              <w:spacing w:after="0"/>
              <w:rPr>
                <w:sz w:val="1"/>
                <w:szCs w:val="1"/>
                <w:color w:val="auto"/>
              </w:rPr>
            </w:pPr>
          </w:p>
        </w:tc>
      </w:tr>
      <w:tr>
        <w:trPr>
          <w:trHeight w:val="148"/>
        </w:trPr>
        <w:tc>
          <w:tcPr>
            <w:tcW w:w="4620" w:type="dxa"/>
            <w:vAlign w:val="bottom"/>
            <w:vMerge w:val="continue"/>
            <w:shd w:val="clear" w:color="auto" w:fill="E6E6E6"/>
          </w:tcPr>
          <w:p>
            <w:pPr>
              <w:spacing w:after="0"/>
              <w:rPr>
                <w:sz w:val="12"/>
                <w:szCs w:val="12"/>
                <w:color w:val="auto"/>
              </w:rPr>
            </w:pPr>
          </w:p>
        </w:tc>
        <w:tc>
          <w:tcPr>
            <w:tcW w:w="1060" w:type="dxa"/>
            <w:vAlign w:val="bottom"/>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0033A0"/>
                <w:w w:val="92"/>
              </w:rPr>
              <w:t>Common</w:t>
            </w:r>
          </w:p>
        </w:tc>
        <w:tc>
          <w:tcPr>
            <w:tcW w:w="1080" w:type="dxa"/>
            <w:vAlign w:val="bottom"/>
            <w:shd w:val="clear" w:color="auto" w:fill="E6E6E6"/>
          </w:tcPr>
          <w:p>
            <w:pPr>
              <w:jc w:val="center"/>
              <w:ind w:left="8"/>
              <w:spacing w:after="0" w:line="149" w:lineRule="exact"/>
              <w:rPr>
                <w:sz w:val="20"/>
                <w:szCs w:val="20"/>
                <w:color w:val="auto"/>
              </w:rPr>
            </w:pPr>
            <w:r>
              <w:rPr>
                <w:rFonts w:ascii="Arial" w:cs="Arial" w:eastAsia="Arial" w:hAnsi="Arial"/>
                <w:sz w:val="14"/>
                <w:szCs w:val="14"/>
                <w:b w:val="1"/>
                <w:bCs w:val="1"/>
                <w:color w:val="0033A0"/>
                <w:w w:val="92"/>
              </w:rPr>
              <w:t>Share</w:t>
            </w:r>
          </w:p>
        </w:tc>
        <w:tc>
          <w:tcPr>
            <w:tcW w:w="1220" w:type="dxa"/>
            <w:vAlign w:val="bottom"/>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0033A0"/>
                <w:w w:val="92"/>
              </w:rPr>
              <w:t>Common</w:t>
            </w:r>
          </w:p>
        </w:tc>
        <w:tc>
          <w:tcPr>
            <w:tcW w:w="1000" w:type="dxa"/>
            <w:vAlign w:val="bottom"/>
            <w:vMerge w:val="continue"/>
            <w:shd w:val="clear" w:color="auto" w:fill="E6E6E6"/>
          </w:tcPr>
          <w:p>
            <w:pPr>
              <w:spacing w:after="0"/>
              <w:rPr>
                <w:sz w:val="12"/>
                <w:szCs w:val="12"/>
                <w:color w:val="auto"/>
              </w:rPr>
            </w:pPr>
          </w:p>
        </w:tc>
        <w:tc>
          <w:tcPr>
            <w:tcW w:w="1160" w:type="dxa"/>
            <w:vAlign w:val="bottom"/>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0033A0"/>
                <w:w w:val="91"/>
              </w:rPr>
              <w:t>Voting</w:t>
            </w:r>
          </w:p>
        </w:tc>
        <w:tc>
          <w:tcPr>
            <w:tcW w:w="110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2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4"/>
                <w:szCs w:val="14"/>
                <w:b w:val="1"/>
                <w:bCs w:val="1"/>
                <w:color w:val="0033A0"/>
              </w:rPr>
              <w:t>of Persons in Group</w:t>
            </w:r>
          </w:p>
        </w:tc>
        <w:tc>
          <w:tcPr>
            <w:tcW w:w="1060" w:type="dxa"/>
            <w:vAlign w:val="bottom"/>
            <w:tcBorders>
              <w:bottom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1"/>
              </w:rPr>
              <w:t>Shares</w:t>
            </w:r>
            <w:r>
              <w:rPr>
                <w:rFonts w:ascii="Arial" w:cs="Arial" w:eastAsia="Arial" w:hAnsi="Arial"/>
                <w:sz w:val="12"/>
                <w:szCs w:val="12"/>
                <w:b w:val="1"/>
                <w:bCs w:val="1"/>
                <w:color w:val="0033A0"/>
                <w:w w:val="91"/>
              </w:rPr>
              <w:t>(1)</w:t>
            </w:r>
          </w:p>
        </w:tc>
        <w:tc>
          <w:tcPr>
            <w:tcW w:w="1080" w:type="dxa"/>
            <w:vAlign w:val="bottom"/>
            <w:tcBorders>
              <w:bottom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2"/>
              </w:rPr>
              <w:t>Units</w:t>
            </w:r>
            <w:r>
              <w:rPr>
                <w:rFonts w:ascii="Arial" w:cs="Arial" w:eastAsia="Arial" w:hAnsi="Arial"/>
                <w:sz w:val="12"/>
                <w:szCs w:val="12"/>
                <w:b w:val="1"/>
                <w:bCs w:val="1"/>
                <w:color w:val="0033A0"/>
                <w:w w:val="92"/>
              </w:rPr>
              <w:t>(2)</w:t>
            </w:r>
          </w:p>
        </w:tc>
        <w:tc>
          <w:tcPr>
            <w:tcW w:w="1220" w:type="dxa"/>
            <w:vAlign w:val="bottom"/>
            <w:tcBorders>
              <w:bottom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91"/>
              </w:rPr>
              <w:t>Shares</w:t>
            </w:r>
            <w:r>
              <w:rPr>
                <w:rFonts w:ascii="Arial" w:cs="Arial" w:eastAsia="Arial" w:hAnsi="Arial"/>
                <w:sz w:val="12"/>
                <w:szCs w:val="12"/>
                <w:b w:val="1"/>
                <w:bCs w:val="1"/>
                <w:color w:val="0033A0"/>
                <w:w w:val="91"/>
              </w:rPr>
              <w:t>(3)</w:t>
            </w:r>
          </w:p>
        </w:tc>
        <w:tc>
          <w:tcPr>
            <w:tcW w:w="1000" w:type="dxa"/>
            <w:vAlign w:val="bottom"/>
            <w:tcBorders>
              <w:bottom w:val="single" w:sz="8" w:color="BFBFBF"/>
            </w:tcBorders>
            <w:shd w:val="clear" w:color="auto" w:fill="E6E6E6"/>
          </w:tcPr>
          <w:p>
            <w:pPr>
              <w:ind w:left="220"/>
              <w:spacing w:after="0"/>
              <w:rPr>
                <w:sz w:val="20"/>
                <w:szCs w:val="20"/>
                <w:color w:val="auto"/>
              </w:rPr>
            </w:pPr>
            <w:r>
              <w:rPr>
                <w:rFonts w:ascii="Arial" w:cs="Arial" w:eastAsia="Arial" w:hAnsi="Arial"/>
                <w:sz w:val="14"/>
                <w:szCs w:val="14"/>
                <w:b w:val="1"/>
                <w:bCs w:val="1"/>
                <w:color w:val="0033A0"/>
              </w:rPr>
              <w:t>of Class</w:t>
            </w:r>
          </w:p>
        </w:tc>
        <w:tc>
          <w:tcPr>
            <w:tcW w:w="1160" w:type="dxa"/>
            <w:vAlign w:val="bottom"/>
            <w:tcBorders>
              <w:bottom w:val="single" w:sz="8" w:color="BFBFBF"/>
            </w:tcBorders>
            <w:shd w:val="clear" w:color="auto" w:fill="E6E6E6"/>
          </w:tcPr>
          <w:p>
            <w:pPr>
              <w:jc w:val="center"/>
              <w:spacing w:after="0"/>
              <w:rPr>
                <w:sz w:val="20"/>
                <w:szCs w:val="20"/>
                <w:color w:val="auto"/>
              </w:rPr>
            </w:pPr>
            <w:r>
              <w:rPr>
                <w:rFonts w:ascii="Arial" w:cs="Arial" w:eastAsia="Arial" w:hAnsi="Arial"/>
                <w:sz w:val="14"/>
                <w:szCs w:val="14"/>
                <w:b w:val="1"/>
                <w:bCs w:val="1"/>
                <w:color w:val="0033A0"/>
                <w:w w:val="89"/>
              </w:rPr>
              <w:t>Shares</w:t>
            </w:r>
          </w:p>
        </w:tc>
        <w:tc>
          <w:tcPr>
            <w:tcW w:w="1100" w:type="dxa"/>
            <w:vAlign w:val="bottom"/>
            <w:tcBorders>
              <w:bottom w:val="single" w:sz="8" w:color="BFBFBF"/>
            </w:tcBorders>
            <w:shd w:val="clear" w:color="auto" w:fill="E6E6E6"/>
          </w:tcPr>
          <w:p>
            <w:pPr>
              <w:ind w:left="280"/>
              <w:spacing w:after="0"/>
              <w:rPr>
                <w:sz w:val="20"/>
                <w:szCs w:val="20"/>
                <w:color w:val="auto"/>
              </w:rPr>
            </w:pPr>
            <w:r>
              <w:rPr>
                <w:rFonts w:ascii="Arial" w:cs="Arial" w:eastAsia="Arial" w:hAnsi="Arial"/>
                <w:sz w:val="14"/>
                <w:szCs w:val="14"/>
                <w:b w:val="1"/>
                <w:bCs w:val="1"/>
                <w:color w:val="0033A0"/>
              </w:rPr>
              <w:t>of Class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Marcellus W. Alexander, Jr.</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4,718</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4,718</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Charles L. Barmonde</w:t>
            </w:r>
            <w:r>
              <w:rPr>
                <w:rFonts w:ascii="Arial" w:cs="Arial" w:eastAsia="Arial" w:hAnsi="Arial"/>
                <w:sz w:val="15"/>
                <w:szCs w:val="15"/>
                <w:b w:val="1"/>
                <w:bCs w:val="1"/>
                <w:color w:val="0033A0"/>
              </w:rPr>
              <w:t>(4)</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606,502</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606,502</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585,666</w:t>
            </w:r>
          </w:p>
        </w:tc>
        <w:tc>
          <w:tcPr>
            <w:tcW w:w="1000" w:type="dxa"/>
            <w:vAlign w:val="bottom"/>
            <w:tcBorders>
              <w:bottom w:val="single" w:sz="8" w:color="BFBFBF"/>
            </w:tcBorders>
          </w:tcPr>
          <w:p>
            <w:pPr>
              <w:jc w:val="right"/>
              <w:ind w:right="319"/>
              <w:spacing w:after="0"/>
              <w:rPr>
                <w:sz w:val="20"/>
                <w:szCs w:val="20"/>
                <w:color w:val="auto"/>
              </w:rPr>
            </w:pPr>
            <w:r>
              <w:rPr>
                <w:rFonts w:ascii="Arial" w:cs="Arial" w:eastAsia="Arial" w:hAnsi="Arial"/>
                <w:sz w:val="16"/>
                <w:szCs w:val="16"/>
                <w:color w:val="auto"/>
              </w:rPr>
              <w:t>4.9%</w:t>
            </w:r>
          </w:p>
        </w:tc>
      </w:tr>
      <w:tr>
        <w:trPr>
          <w:trHeight w:val="223"/>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Richard A. Boehne</w:t>
            </w:r>
            <w:r>
              <w:rPr>
                <w:rFonts w:ascii="Arial" w:cs="Arial" w:eastAsia="Arial" w:hAnsi="Arial"/>
                <w:sz w:val="15"/>
                <w:szCs w:val="15"/>
                <w:b w:val="1"/>
                <w:bCs w:val="1"/>
                <w:color w:val="0033A0"/>
              </w:rPr>
              <w:t>(5)</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413,670</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413,670</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shd w:val="clear" w:color="auto" w:fill="F2F2F2"/>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Kelly P. Conlin</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28,685</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28,685</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Lauren Rich Fine</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10,750</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10,750</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shd w:val="clear" w:color="auto" w:fill="F2F2F2"/>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John W. Hayden</w:t>
            </w:r>
            <w:r>
              <w:rPr>
                <w:rFonts w:ascii="Arial" w:cs="Arial" w:eastAsia="Arial" w:hAnsi="Arial"/>
                <w:sz w:val="15"/>
                <w:szCs w:val="15"/>
                <w:b w:val="1"/>
                <w:bCs w:val="1"/>
                <w:color w:val="0033A0"/>
              </w:rPr>
              <w:t>(5)</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75,795</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75,795</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Anne M. La Dow</w:t>
            </w:r>
            <w:r>
              <w:rPr>
                <w:rFonts w:ascii="Arial" w:cs="Arial" w:eastAsia="Arial" w:hAnsi="Arial"/>
                <w:sz w:val="15"/>
                <w:szCs w:val="15"/>
                <w:b w:val="1"/>
                <w:bCs w:val="1"/>
                <w:color w:val="0033A0"/>
              </w:rPr>
              <w:t>(4)(6)</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31,869</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31,869</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39,552</w:t>
            </w:r>
          </w:p>
        </w:tc>
        <w:tc>
          <w:tcPr>
            <w:tcW w:w="1000" w:type="dxa"/>
            <w:vAlign w:val="bottom"/>
            <w:tcBorders>
              <w:bottom w:val="single" w:sz="8" w:color="BFBFBF"/>
            </w:tcBorders>
            <w:shd w:val="clear" w:color="auto" w:fill="F2F2F2"/>
          </w:tcPr>
          <w:p>
            <w:pPr>
              <w:jc w:val="right"/>
              <w:ind w:right="4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b w:val="1"/>
                <w:bCs w:val="1"/>
                <w:color w:val="0033A0"/>
              </w:rPr>
              <w:t>Wonya Y. Lucas</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4,279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4,279</w:t>
            </w:r>
          </w:p>
        </w:tc>
        <w:tc>
          <w:tcPr>
            <w:tcW w:w="10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30"/>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R. Michael Scagliotti</w:t>
            </w:r>
            <w:r>
              <w:rPr>
                <w:rFonts w:ascii="Arial" w:cs="Arial" w:eastAsia="Arial" w:hAnsi="Arial"/>
                <w:sz w:val="15"/>
                <w:szCs w:val="15"/>
                <w:b w:val="1"/>
                <w:bCs w:val="1"/>
                <w:color w:val="0033A0"/>
              </w:rPr>
              <w:t>(4)</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14,048</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14,048</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267,283</w:t>
            </w:r>
          </w:p>
        </w:tc>
        <w:tc>
          <w:tcPr>
            <w:tcW w:w="1000" w:type="dxa"/>
            <w:vAlign w:val="bottom"/>
            <w:tcBorders>
              <w:bottom w:val="single" w:sz="8" w:color="BFBFBF"/>
            </w:tcBorders>
            <w:shd w:val="clear" w:color="auto" w:fill="F2F2F2"/>
          </w:tcPr>
          <w:p>
            <w:pPr>
              <w:jc w:val="right"/>
              <w:ind w:right="319"/>
              <w:spacing w:after="0"/>
              <w:rPr>
                <w:sz w:val="20"/>
                <w:szCs w:val="20"/>
                <w:color w:val="auto"/>
              </w:rPr>
            </w:pPr>
            <w:r>
              <w:rPr>
                <w:rFonts w:ascii="Arial" w:cs="Arial" w:eastAsia="Arial" w:hAnsi="Arial"/>
                <w:sz w:val="16"/>
                <w:szCs w:val="16"/>
                <w:color w:val="auto"/>
              </w:rPr>
              <w:t>2.2%</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Kim Williams</w:t>
            </w:r>
            <w:r>
              <w:rPr>
                <w:rFonts w:ascii="Arial" w:cs="Arial" w:eastAsia="Arial" w:hAnsi="Arial"/>
                <w:sz w:val="15"/>
                <w:szCs w:val="15"/>
                <w:b w:val="1"/>
                <w:bCs w:val="1"/>
                <w:color w:val="0033A0"/>
              </w:rPr>
              <w:t>(5)</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153,953</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153,953</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William Appleton</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122,718</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31,598</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154,316</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shd w:val="clear" w:color="auto" w:fill="F2F2F2"/>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Lisa A. Knutson</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35,909</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33,092</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69,001</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Brian G. Lawlor</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114,822</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114,822</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shd w:val="clear" w:color="auto" w:fill="F2F2F2"/>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Adam P. Symson</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127,678</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127,678</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Laura M. Tomlin</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14,510</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14,510</w:t>
            </w:r>
          </w:p>
        </w:tc>
        <w:tc>
          <w:tcPr>
            <w:tcW w:w="1000" w:type="dxa"/>
            <w:vAlign w:val="bottom"/>
            <w:tcBorders>
              <w:bottom w:val="single" w:sz="8" w:color="BFBFBF"/>
            </w:tcBorders>
            <w:shd w:val="clear" w:color="auto" w:fill="F2F2F2"/>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shd w:val="clear" w:color="auto" w:fill="F2F2F2"/>
          </w:tcPr>
          <w:p>
            <w:pPr>
              <w:jc w:val="right"/>
              <w:ind w:right="359"/>
              <w:spacing w:after="0"/>
              <w:rPr>
                <w:sz w:val="20"/>
                <w:szCs w:val="20"/>
                <w:color w:val="auto"/>
              </w:rPr>
            </w:pPr>
            <w:r>
              <w:rPr>
                <w:rFonts w:ascii="Arial" w:cs="Arial" w:eastAsia="Arial" w:hAnsi="Arial"/>
                <w:sz w:val="16"/>
                <w:szCs w:val="16"/>
                <w:color w:val="auto"/>
              </w:rPr>
              <w:t>—</w:t>
            </w:r>
          </w:p>
        </w:tc>
      </w:tr>
      <w:tr>
        <w:trPr>
          <w:trHeight w:val="223"/>
        </w:trPr>
        <w:tc>
          <w:tcPr>
            <w:tcW w:w="40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Other officers not named individually</w:t>
            </w:r>
            <w:r>
              <w:rPr>
                <w:rFonts w:ascii="Arial" w:cs="Arial" w:eastAsia="Arial" w:hAnsi="Arial"/>
                <w:sz w:val="15"/>
                <w:szCs w:val="15"/>
                <w:b w:val="1"/>
                <w:bCs w:val="1"/>
                <w:color w:val="0033A0"/>
              </w:rPr>
              <w:t>(7)</w:t>
            </w:r>
          </w:p>
        </w:tc>
        <w:tc>
          <w:tcPr>
            <w:tcW w:w="1840" w:type="dxa"/>
            <w:vAlign w:val="bottom"/>
            <w:tcBorders>
              <w:bottom w:val="single" w:sz="8" w:color="BFBFBF"/>
            </w:tcBorders>
          </w:tcPr>
          <w:p>
            <w:pPr>
              <w:jc w:val="right"/>
              <w:ind w:right="239"/>
              <w:spacing w:after="0"/>
              <w:rPr>
                <w:sz w:val="20"/>
                <w:szCs w:val="20"/>
                <w:color w:val="auto"/>
              </w:rPr>
            </w:pPr>
            <w:r>
              <w:rPr>
                <w:rFonts w:ascii="Arial" w:cs="Arial" w:eastAsia="Arial" w:hAnsi="Arial"/>
                <w:sz w:val="16"/>
                <w:szCs w:val="16"/>
                <w:color w:val="auto"/>
              </w:rPr>
              <w:t>75,910</w:t>
            </w:r>
          </w:p>
        </w:tc>
        <w:tc>
          <w:tcPr>
            <w:tcW w:w="1000" w:type="dxa"/>
            <w:vAlign w:val="bottom"/>
            <w:tcBorders>
              <w:bottom w:val="single" w:sz="8" w:color="BFBFBF"/>
            </w:tcBorders>
          </w:tcPr>
          <w:p>
            <w:pPr>
              <w:jc w:val="right"/>
              <w:ind w:right="139"/>
              <w:spacing w:after="0"/>
              <w:rPr>
                <w:sz w:val="20"/>
                <w:szCs w:val="20"/>
                <w:color w:val="auto"/>
              </w:rPr>
            </w:pPr>
            <w:r>
              <w:rPr>
                <w:rFonts w:ascii="Arial" w:cs="Arial" w:eastAsia="Arial" w:hAnsi="Arial"/>
                <w:sz w:val="16"/>
                <w:szCs w:val="16"/>
                <w:color w:val="auto"/>
              </w:rPr>
              <w:t>13,660</w:t>
            </w:r>
          </w:p>
        </w:tc>
        <w:tc>
          <w:tcPr>
            <w:tcW w:w="1120" w:type="dxa"/>
            <w:vAlign w:val="bottom"/>
            <w:tcBorders>
              <w:bottom w:val="single" w:sz="8" w:color="BFBFBF"/>
            </w:tcBorders>
          </w:tcPr>
          <w:p>
            <w:pPr>
              <w:jc w:val="right"/>
              <w:ind w:right="179"/>
              <w:spacing w:after="0"/>
              <w:rPr>
                <w:sz w:val="20"/>
                <w:szCs w:val="20"/>
                <w:color w:val="auto"/>
              </w:rPr>
            </w:pPr>
            <w:r>
              <w:rPr>
                <w:rFonts w:ascii="Arial" w:cs="Arial" w:eastAsia="Arial" w:hAnsi="Arial"/>
                <w:sz w:val="16"/>
                <w:szCs w:val="16"/>
                <w:color w:val="auto"/>
              </w:rPr>
              <w:t>89,570</w:t>
            </w:r>
          </w:p>
        </w:tc>
        <w:tc>
          <w:tcPr>
            <w:tcW w:w="1000" w:type="dxa"/>
            <w:vAlign w:val="bottom"/>
            <w:tcBorders>
              <w:bottom w:val="single" w:sz="8" w:color="BFBFBF"/>
            </w:tcBorders>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BFBF"/>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05"/>
        </w:trPr>
        <w:tc>
          <w:tcPr>
            <w:tcW w:w="4080" w:type="dxa"/>
            <w:vAlign w:val="bottom"/>
            <w:shd w:val="clear" w:color="auto" w:fill="F2F2F2"/>
          </w:tcPr>
          <w:p>
            <w:pPr>
              <w:ind w:left="140"/>
              <w:spacing w:after="0" w:line="205" w:lineRule="exact"/>
              <w:rPr>
                <w:sz w:val="20"/>
                <w:szCs w:val="20"/>
                <w:color w:val="auto"/>
              </w:rPr>
            </w:pPr>
            <w:r>
              <w:rPr>
                <w:rFonts w:ascii="Arial" w:cs="Arial" w:eastAsia="Arial" w:hAnsi="Arial"/>
                <w:sz w:val="18"/>
                <w:szCs w:val="18"/>
                <w:b w:val="1"/>
                <w:bCs w:val="1"/>
                <w:color w:val="0033A0"/>
              </w:rPr>
              <w:t>All directors and executive officers as a</w:t>
            </w:r>
          </w:p>
        </w:tc>
        <w:tc>
          <w:tcPr>
            <w:tcW w:w="184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120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r>
      <w:tr>
        <w:trPr>
          <w:trHeight w:val="241"/>
        </w:trPr>
        <w:tc>
          <w:tcPr>
            <w:tcW w:w="4080" w:type="dxa"/>
            <w:vAlign w:val="bottom"/>
            <w:tcBorders>
              <w:bottom w:val="single" w:sz="8" w:color="BFBFBF"/>
            </w:tcBorders>
            <w:shd w:val="clear" w:color="auto" w:fill="F2F2F2"/>
          </w:tcPr>
          <w:p>
            <w:pPr>
              <w:ind w:left="260"/>
              <w:spacing w:after="0"/>
              <w:rPr>
                <w:sz w:val="20"/>
                <w:szCs w:val="20"/>
                <w:color w:val="auto"/>
              </w:rPr>
            </w:pPr>
            <w:r>
              <w:rPr>
                <w:rFonts w:ascii="Arial" w:cs="Arial" w:eastAsia="Arial" w:hAnsi="Arial"/>
                <w:sz w:val="18"/>
                <w:szCs w:val="18"/>
                <w:b w:val="1"/>
                <w:bCs w:val="1"/>
                <w:color w:val="0033A0"/>
              </w:rPr>
              <w:t>group (20 persons)</w:t>
            </w:r>
          </w:p>
        </w:tc>
        <w:tc>
          <w:tcPr>
            <w:tcW w:w="1840" w:type="dxa"/>
            <w:vAlign w:val="bottom"/>
            <w:tcBorders>
              <w:bottom w:val="single" w:sz="8" w:color="BFBFBF"/>
            </w:tcBorders>
            <w:shd w:val="clear" w:color="auto" w:fill="F2F2F2"/>
          </w:tcPr>
          <w:p>
            <w:pPr>
              <w:jc w:val="right"/>
              <w:ind w:right="239"/>
              <w:spacing w:after="0"/>
              <w:rPr>
                <w:sz w:val="20"/>
                <w:szCs w:val="20"/>
                <w:color w:val="auto"/>
              </w:rPr>
            </w:pPr>
            <w:r>
              <w:rPr>
                <w:rFonts w:ascii="Arial" w:cs="Arial" w:eastAsia="Arial" w:hAnsi="Arial"/>
                <w:sz w:val="16"/>
                <w:szCs w:val="16"/>
                <w:color w:val="auto"/>
              </w:rPr>
              <w:t>1,835,816</w:t>
            </w:r>
          </w:p>
        </w:tc>
        <w:tc>
          <w:tcPr>
            <w:tcW w:w="1000" w:type="dxa"/>
            <w:vAlign w:val="bottom"/>
            <w:tcBorders>
              <w:bottom w:val="single" w:sz="8" w:color="BFBFBF"/>
            </w:tcBorders>
            <w:shd w:val="clear" w:color="auto" w:fill="F2F2F2"/>
          </w:tcPr>
          <w:p>
            <w:pPr>
              <w:jc w:val="right"/>
              <w:ind w:right="139"/>
              <w:spacing w:after="0"/>
              <w:rPr>
                <w:sz w:val="20"/>
                <w:szCs w:val="20"/>
                <w:color w:val="auto"/>
              </w:rPr>
            </w:pPr>
            <w:r>
              <w:rPr>
                <w:rFonts w:ascii="Arial" w:cs="Arial" w:eastAsia="Arial" w:hAnsi="Arial"/>
                <w:sz w:val="16"/>
                <w:szCs w:val="16"/>
                <w:color w:val="auto"/>
              </w:rPr>
              <w:t>78,350</w:t>
            </w:r>
          </w:p>
        </w:tc>
        <w:tc>
          <w:tcPr>
            <w:tcW w:w="1120" w:type="dxa"/>
            <w:vAlign w:val="bottom"/>
            <w:tcBorders>
              <w:bottom w:val="single" w:sz="8" w:color="BFBFBF"/>
            </w:tcBorders>
            <w:shd w:val="clear" w:color="auto" w:fill="F2F2F2"/>
          </w:tcPr>
          <w:p>
            <w:pPr>
              <w:jc w:val="right"/>
              <w:ind w:right="179"/>
              <w:spacing w:after="0"/>
              <w:rPr>
                <w:sz w:val="20"/>
                <w:szCs w:val="20"/>
                <w:color w:val="auto"/>
              </w:rPr>
            </w:pPr>
            <w:r>
              <w:rPr>
                <w:rFonts w:ascii="Arial" w:cs="Arial" w:eastAsia="Arial" w:hAnsi="Arial"/>
                <w:sz w:val="16"/>
                <w:szCs w:val="16"/>
                <w:color w:val="auto"/>
              </w:rPr>
              <w:t>1,914,166</w:t>
            </w:r>
          </w:p>
        </w:tc>
        <w:tc>
          <w:tcPr>
            <w:tcW w:w="1000" w:type="dxa"/>
            <w:vAlign w:val="bottom"/>
            <w:tcBorders>
              <w:bottom w:val="single" w:sz="8" w:color="BFBFBF"/>
            </w:tcBorders>
            <w:shd w:val="clear" w:color="auto" w:fill="F2F2F2"/>
          </w:tcPr>
          <w:p>
            <w:pPr>
              <w:jc w:val="right"/>
              <w:ind w:right="339"/>
              <w:spacing w:after="0"/>
              <w:rPr>
                <w:sz w:val="20"/>
                <w:szCs w:val="20"/>
                <w:color w:val="auto"/>
              </w:rPr>
            </w:pPr>
            <w:r>
              <w:rPr>
                <w:rFonts w:ascii="Arial" w:cs="Arial" w:eastAsia="Arial" w:hAnsi="Arial"/>
                <w:sz w:val="16"/>
                <w:szCs w:val="16"/>
                <w:color w:val="auto"/>
              </w:rPr>
              <w:t>2.7%</w:t>
            </w:r>
          </w:p>
        </w:tc>
        <w:tc>
          <w:tcPr>
            <w:tcW w:w="1200" w:type="dxa"/>
            <w:vAlign w:val="bottom"/>
            <w:tcBorders>
              <w:bottom w:val="single" w:sz="8" w:color="BFBFBF"/>
            </w:tcBorders>
            <w:shd w:val="clear" w:color="auto" w:fill="F2F2F2"/>
          </w:tcPr>
          <w:p>
            <w:pPr>
              <w:jc w:val="right"/>
              <w:ind w:right="159"/>
              <w:spacing w:after="0"/>
              <w:rPr>
                <w:sz w:val="20"/>
                <w:szCs w:val="20"/>
                <w:color w:val="auto"/>
              </w:rPr>
            </w:pPr>
            <w:r>
              <w:rPr>
                <w:rFonts w:ascii="Arial" w:cs="Arial" w:eastAsia="Arial" w:hAnsi="Arial"/>
                <w:sz w:val="16"/>
                <w:szCs w:val="16"/>
                <w:color w:val="auto"/>
              </w:rPr>
              <w:t>892,501</w:t>
            </w:r>
          </w:p>
        </w:tc>
        <w:tc>
          <w:tcPr>
            <w:tcW w:w="1000" w:type="dxa"/>
            <w:vAlign w:val="bottom"/>
            <w:tcBorders>
              <w:bottom w:val="single" w:sz="8" w:color="BFBFBF"/>
            </w:tcBorders>
            <w:shd w:val="clear" w:color="auto" w:fill="F2F2F2"/>
          </w:tcPr>
          <w:p>
            <w:pPr>
              <w:jc w:val="right"/>
              <w:ind w:right="319"/>
              <w:spacing w:after="0"/>
              <w:rPr>
                <w:sz w:val="20"/>
                <w:szCs w:val="20"/>
                <w:color w:val="auto"/>
              </w:rPr>
            </w:pPr>
            <w:r>
              <w:rPr>
                <w:rFonts w:ascii="Arial" w:cs="Arial" w:eastAsia="Arial" w:hAnsi="Arial"/>
                <w:sz w:val="16"/>
                <w:szCs w:val="16"/>
                <w:color w:val="auto"/>
              </w:rPr>
              <w:t>7.5%</w:t>
            </w:r>
          </w:p>
        </w:tc>
      </w:tr>
    </w:tbl>
    <w:p>
      <w:pPr>
        <w:spacing w:after="0" w:line="7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29"/>
          <w:szCs w:val="29"/>
          <w:color w:val="auto"/>
          <w:vertAlign w:val="subscript"/>
        </w:rPr>
      </w:pPr>
      <w:r>
        <w:rPr>
          <w:rFonts w:ascii="Arial" w:cs="Arial" w:eastAsia="Arial" w:hAnsi="Arial"/>
          <w:sz w:val="14"/>
          <w:szCs w:val="14"/>
          <w:color w:val="auto"/>
        </w:rPr>
        <w:t>Shares owned represent less than 1 percent of the outstanding shares of such class of stock.</w:t>
      </w:r>
    </w:p>
    <w:p>
      <w:pPr>
        <w:spacing w:after="0" w:line="14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listed for each of the executive officers and directors represent his or her direct or indirect beneficial ownership of Class A Common Shares.</w:t>
      </w:r>
    </w:p>
    <w:p>
      <w:pPr>
        <w:spacing w:after="0" w:line="95" w:lineRule="exact"/>
        <w:rPr>
          <w:rFonts w:ascii="Arial" w:cs="Arial" w:eastAsia="Arial" w:hAnsi="Arial"/>
          <w:sz w:val="14"/>
          <w:szCs w:val="14"/>
          <w:color w:val="auto"/>
        </w:rPr>
      </w:pPr>
    </w:p>
    <w:p>
      <w:pPr>
        <w:ind w:left="260" w:right="20" w:hanging="252"/>
        <w:spacing w:after="0" w:line="253"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listed for each of the executive officers and directors include Class A Common Shares underlying restricted share units that are convertible within 60 days of January 29, 2021, and have no additional vesting requirements.</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None of the shares listed for any officer or director is pledged as security for any obligation.</w:t>
      </w:r>
    </w:p>
    <w:p>
      <w:pPr>
        <w:spacing w:after="0" w:line="95" w:lineRule="exact"/>
        <w:rPr>
          <w:rFonts w:ascii="Arial" w:cs="Arial" w:eastAsia="Arial" w:hAnsi="Arial"/>
          <w:sz w:val="14"/>
          <w:szCs w:val="14"/>
          <w:color w:val="auto"/>
        </w:rPr>
      </w:pPr>
    </w:p>
    <w:p>
      <w:pPr>
        <w:ind w:left="260" w:right="20" w:hanging="252"/>
        <w:spacing w:after="0" w:line="253"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Barmonde, Ms. La Dow and Mr. Scagliotti are Signatories to the Scripps Family Agreement. See “Report on the Security Ownership of Certain Beneficial Owners” above and “Related Party Transactions-Scripps Family Agreement” below.</w:t>
      </w:r>
    </w:p>
    <w:p>
      <w:pPr>
        <w:spacing w:after="0" w:line="65" w:lineRule="exact"/>
        <w:rPr>
          <w:rFonts w:ascii="Arial" w:cs="Arial" w:eastAsia="Arial" w:hAnsi="Arial"/>
          <w:sz w:val="14"/>
          <w:szCs w:val="14"/>
          <w:color w:val="auto"/>
        </w:rPr>
      </w:pPr>
    </w:p>
    <w:p>
      <w:pPr>
        <w:jc w:val="both"/>
        <w:ind w:left="260" w:hanging="252"/>
        <w:spacing w:after="0" w:line="238"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addition to the shares listed, the director deferred a portion of his or her director fees in a “phantom shares” account. These “phantom shares” have no voting or other rights. Mr. Hayden has 86,314 phantom shares and has chosen payment in cash rather than payment in Class A Common Shares. Mr. Boehne has 34,273 and Ms. Williams has 41,094 phantom shares and both have elected payment in Class A Common Shares.</w:t>
      </w:r>
    </w:p>
    <w:p>
      <w:pPr>
        <w:spacing w:after="0" w:line="74" w:lineRule="exact"/>
        <w:rPr>
          <w:rFonts w:ascii="Arial" w:cs="Arial" w:eastAsia="Arial" w:hAnsi="Arial"/>
          <w:sz w:val="14"/>
          <w:szCs w:val="14"/>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shares held by the Anne M. La Dow Trust under agreement dated 10/27/2011, of which Ms. La Dow is trustee.</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listed include shares beneficially owned by five executive officers who are not named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9"/>
          <w:szCs w:val="29"/>
          <w:b w:val="1"/>
          <w:bCs w:val="1"/>
          <w:color w:val="0033A0"/>
        </w:rPr>
        <w:t>Prohibition of Hedging and Pledging</w:t>
      </w:r>
    </w:p>
    <w:p>
      <w:pPr>
        <w:spacing w:after="0" w:line="2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Directors, officers and other employees who routinely have access to material non-public information are prohibited from (i) purchasing financial instruments (including prepaid variable forward contracts, equity swaps, collars, and exchange funds), or (ii) otherwise engaging in transactions (including "short sales" and arrangements involving a non-recourse pledge of securities), that hedge or offset, or are designed to hedge or offset, any decrease in the market value of Class A Common Shares granted to them by the Company as part of their compensation, or held (directly or indirectly)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9"/>
          <w:szCs w:val="29"/>
          <w:b w:val="1"/>
          <w:bCs w:val="1"/>
          <w:color w:val="0033A0"/>
        </w:rPr>
        <w:t>Report on the Board of Directors and its Committees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Board Meetings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Board held four regularly scheduled meetings and four telephonic meetings. All directors attended at least 75 percent of the meetings of the Board and of the committees on which they served during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executive sessions of non-management directors were held regularly. The director who presided at these meetings was the lead independent director or another director selected by the Board at the time of such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Standing Committees and Committee Charters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standing executive, audit, compensation and nominating &amp; governance committees. The charter for each such standing committee is available for review on the Company’s website (www.scripps.com) by first clicking on "Investors" and then on “Corporate Governance.” Copies are available in print to any shareholder who requests a copy by contacting the Company’s secretary at secretary@scripps.com or by mail at 312 Walnut Street, Suite 2800, Cincinnati, Ohio, 45202.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Richard A. Boehne (chair), Charles L. Barmonde, Kelly P. Conlin, John W. Hayden, Adam P. Symson and Kim Williams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executive committee. This committee may exercise all of the powers of the Board in the management of the business and affairs of the Company between Board meetings except the power to fill vacancies on the Board or its committees. The executive committee meets only as necessary. During 2020, the executive committee did not meet.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Kim Williams (chair), Lauren Rich Fine and John W. Hayden are the members of the audit committee. The purpose of the committee is</w:t>
      </w:r>
      <w:r>
        <w:rPr>
          <w:rFonts w:ascii="Arial" w:cs="Arial" w:eastAsia="Arial" w:hAnsi="Arial"/>
          <w:sz w:val="17"/>
          <w:szCs w:val="17"/>
          <w:i w:val="1"/>
          <w:iCs w:val="1"/>
          <w:color w:val="auto"/>
        </w:rPr>
        <w:t xml:space="preserve"> </w:t>
      </w:r>
      <w:r>
        <w:rPr>
          <w:rFonts w:ascii="Arial" w:cs="Arial" w:eastAsia="Arial" w:hAnsi="Arial"/>
          <w:sz w:val="17"/>
          <w:szCs w:val="17"/>
          <w:color w:val="auto"/>
        </w:rPr>
        <w:t>to assist the Board in fulfilling its oversight responsibility relating to (1) the integrity of the Company’s financial statements and financial reporting process and the Company’s systems of internal accounting and financial controls; (2) the performance of the internal audit services function; (3) the annual independent audit of the Company’s financial statements, the engagement of the independent auditors and the evaluation of the independent auditors’ qualifications, independence, performance and fees; (4) the compliance by the Company with legal and regulatory requirements, including the Company’s disclosure controls and procedures; (5) the review of the Company’s enterprise risk issues including, but not limited to, financial, cybersecurity, information technology, data privacy, legal and business continuity; and (6) the fulfillment of all other responsibilities as outlined in its charter. The internal and independent auditors have unrestricted access to the audit committee. The committee meets privately with each of the independent auditors, the internal auditors and management. During 2020, the audit committee held four meetings.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Kelly P. Conlin (chair), Marcellus W. Alexander, Jr., Anne M. La Dow and Wonya Y. Lucas are the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The committee is appointed by the Board to discharge the Board’s responsibilities relating to compensation of the Company’s directors and officers. The committee reviews and approves the Company’s compensation principles that apply generally to Company employees. It also reviews and approves the Company’s goals and objectives relevant to compensation of the chief executive officer and executive officers (“senior executives”) and evaluates their performance in light of those goals and objectives. Annually, the compensation committee conducts a performance review of the chief executive officer, the results of which are shared with the entire Board. With respect to senior executives, the committee reviews and approves a peer group of companies against which it compares the Company’s compensation programs and practices for senior executives and directors, and the chief executive officer makes recommendations to the committee regarding the compensation elements of his direct reports in light of their goals and objectives. The committee reviews all of the components of the chief executive officer’s and the senior executives’ compensation, including goals and objectives, employment arrangements, severance arrangements or plans, incentive plans, employee benefit plans, perquisite arrangements, the Incentive Compensation Recoupment Policy (“claw-back policy”) and stock ownership guidelines, considers the chief executive officer's recommendations for his direct reports, and makes recommendations to the Board. The committee has the authority to administer the cash-based incentive plans, severance arrangements or plans and change in control arrangements or plans covering the chief executive officer and senior executives. The committee is also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reviewing the result of any shareholder advisory vote regarding the compensation of the Company’s named executive officers and making recommendations to the Board on how to respond to those votes as well as recommending to the Board whether to hold the shareholder advisory vote every one, two or three years. The committee oversees the annual review of the Company’s compensation policies and practices for all employees, including non-senior executives, to determine whether they create financial risks. The committee may delegate any of its responsibilities to a subcommittee composed of one or more members of the committee, or to one or more other directors, in each case as it deems appropriate, other than in connection with any power or authority required by law, regulation or listing standard to be exercised by the committee as a whole.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respect to any funded employee benefit plans covering employees of the Company subject to the fiduciary responsibility provisions of the Employee Retirement Income Security Act of 1974, the committee has the definitive authority to appoint and terminate the named fiduciary or named fiduciaries of such plan(s). The committee reviews succession planning relating to positions held by senior officers of the Company and reviews director compensation and makes recommendations with respect thereto to the Board. The committee has the authority to engage outside consultants to assist in determining appropriate compensation levels for the chief executive officer, other senior executives or directors. In 2020, the committee retained Exequity, LLC to assist it in developing and reviewing our executive and director compensation strategy and programs. The committee is also responsible for producing an annual report for inclusion in the Company’s proxy statement and reviewing and approving the Compensation Discussion and Analysis and related compensation disclosures included in the Company’s proxy statement. During 2020, the compensation committee held four meetings.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Nominating &amp; Governance Committee. </w:t>
      </w:r>
      <w:r>
        <w:rPr>
          <w:rFonts w:ascii="Arial" w:cs="Arial" w:eastAsia="Arial" w:hAnsi="Arial"/>
          <w:sz w:val="17"/>
          <w:szCs w:val="17"/>
          <w:color w:val="auto"/>
        </w:rPr>
        <w:t>John W. Hayden (chair), Charles L. Barmonde, R. Michael Scagliotti and Kim Williams are the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nominating &amp; governance committee. The purpose of the committee is (1) to assist the Board by identifying individuals qualified to become Board members and to recommend director nominees to the Board; (2) to recommend to the Board corporate governance principles that might be applicable to the Company; (3) to lead the Board and its committees in the annual review of the Board and its committees’ performance; (4) to monitor the Company’s Corporate Social Responsibility (“CSR”) programs, (5) to oversee the Company's ethics and compliance programs; and (6) to recommend to the Board nominees for each committee of the Board. During 2020, the nominating &amp; governance committee held four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9"/>
          <w:szCs w:val="29"/>
          <w:b w:val="1"/>
          <w:bCs w:val="1"/>
          <w:color w:val="0033A0"/>
        </w:rPr>
        <w:t>In Support of Giving Light</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0033A0"/>
        </w:rPr>
        <w:t>Corporate Social Responsibility at Scripps</w:t>
      </w:r>
    </w:p>
    <w:p>
      <w:pPr>
        <w:spacing w:after="0" w:line="327"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“Give light and the people will find their own way” is more than the Scripps company motto – it is a cultural calling and a strategic direction. Few companies have the gift of such clarity of purpose: Journalism and the drive to inform and entertain audiences while supporting the economy through advertising and marketing services provide our management and the Board with the strategic lens for Scripps’ value creation and growth.</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at Scripps are passionate about the importance of journalism in our democracy – a Fourth Estate that balances government power, holds authority figures and institutions accountable and improves the lives of those we serve. We know that a dynamic and healthy news media is instrumental to a healthy nation that governs itself through transparency and civil discourse. This vision drives our internal priorities and our external partnerships and activities and provides a broad view of the stakeholders to whom we are responsible.</w:t>
      </w:r>
    </w:p>
    <w:p>
      <w:pPr>
        <w:spacing w:after="0" w:line="214"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In addition to maintaining best practices for corporate governance, as discussed elsewhere in the proxy, Scripps’ approach to Corporate Social Responsibility (“CSR”) falls into six general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43205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306"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0033A0"/>
        </w:rPr>
        <w:t>Objective,</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33A0"/>
        </w:rPr>
        <w:t>Impactful</w:t>
      </w:r>
    </w:p>
    <w:p>
      <w:pPr>
        <w:ind w:left="320"/>
        <w:spacing w:after="0"/>
        <w:rPr>
          <w:sz w:val="20"/>
          <w:szCs w:val="20"/>
          <w:color w:val="auto"/>
        </w:rPr>
      </w:pPr>
      <w:r>
        <w:rPr>
          <w:rFonts w:ascii="Arial" w:cs="Arial" w:eastAsia="Arial" w:hAnsi="Arial"/>
          <w:sz w:val="19"/>
          <w:szCs w:val="19"/>
          <w:b w:val="1"/>
          <w:bCs w:val="1"/>
          <w:color w:val="0033A0"/>
        </w:rPr>
        <w:t>Journalism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Scripps is dedicated to fulfilling our instrumental role as the Fourth Estate in American democracy.</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objective local and national news coverage empowers people to make informed decisions for their own lives and for their communities. Our investigative journalism plays a crucial watchdog role.</w:t>
      </w:r>
    </w:p>
    <w:p>
      <w:pPr>
        <w:spacing w:after="0" w:line="19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our Local Media markets, Scripps takes pride in giving back to the places where we live and work through social service projects, by shining light on important local issues such as domestic violence and homelessness, and by sponsoring or emceeing important local philanthropic, civic and business events. Its local television stations serve a critical public-service role in keeping viewers informed during natural disasters, and they host telethons and other fundraising efforts to help those affected.</w:t>
      </w:r>
    </w:p>
    <w:p>
      <w:pPr>
        <w:spacing w:after="0" w:line="18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Both the local and national news and information organizations strive to earn and maintain the trust of the public and to be fearless in the pursuit of the truth. Scripps journalists adhere to our journalism ethics practices when gathering and reporting the news and welcome an open dialogue with the public about their news-gathering processes. The Scripps Journalism Ethics Guidelines are available at this URL: </w:t>
      </w:r>
      <w:r>
        <w:rPr>
          <w:rFonts w:ascii="Arial" w:cs="Arial" w:eastAsia="Arial" w:hAnsi="Arial"/>
          <w:sz w:val="16"/>
          <w:szCs w:val="16"/>
          <w:u w:val="single" w:color="auto"/>
          <w:color w:val="0070C0"/>
        </w:rPr>
        <w:t>https://assets.scrippsdigital.com/docs/journalism-ethics-guidelines.pdf</w:t>
      </w:r>
      <w:r>
        <w:rPr>
          <w:rFonts w:ascii="Arial" w:cs="Arial" w:eastAsia="Arial" w:hAnsi="Arial"/>
          <w:sz w:val="16"/>
          <w:szCs w:val="16"/>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Also toward this end, Scripps has committed time, talent and other resources to three key issues impacting the important role of journalism in our society:</w:t>
      </w:r>
    </w:p>
    <w:p>
      <w:pPr>
        <w:spacing w:after="0" w:line="193" w:lineRule="exact"/>
        <w:rPr>
          <w:sz w:val="20"/>
          <w:szCs w:val="20"/>
          <w:color w:val="auto"/>
        </w:rPr>
      </w:pPr>
    </w:p>
    <w:p>
      <w:pPr>
        <w:ind w:left="1160" w:right="140" w:hanging="326"/>
        <w:spacing w:after="0" w:line="274" w:lineRule="auto"/>
        <w:tabs>
          <w:tab w:leader="none" w:pos="1169"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News Literacy</w:t>
      </w:r>
      <w:r>
        <w:rPr>
          <w:rFonts w:ascii="Arial" w:cs="Arial" w:eastAsia="Arial" w:hAnsi="Arial"/>
          <w:sz w:val="17"/>
          <w:szCs w:val="17"/>
          <w:color w:val="auto"/>
        </w:rPr>
        <w:t>. Scripps supports educating Americans on the role of the free press and society’s need for robust</w:t>
      </w:r>
      <w:r>
        <w:rPr>
          <w:rFonts w:ascii="Arial" w:cs="Arial" w:eastAsia="Arial" w:hAnsi="Arial"/>
          <w:sz w:val="17"/>
          <w:szCs w:val="17"/>
          <w:b w:val="1"/>
          <w:bCs w:val="1"/>
          <w:color w:val="auto"/>
        </w:rPr>
        <w:t xml:space="preserve"> </w:t>
      </w:r>
      <w:r>
        <w:rPr>
          <w:rFonts w:ascii="Arial" w:cs="Arial" w:eastAsia="Arial" w:hAnsi="Arial"/>
          <w:sz w:val="17"/>
          <w:szCs w:val="17"/>
          <w:color w:val="auto"/>
        </w:rPr>
        <w:t>reporting and energized news operations. The Company partnered with The News Literacy Project, a nonpartisan nonprofit organization, to launch News Literacy Week. The second annual event was held beginning Jan. 25, 2021. The public awareness campaign succeeded in achieving broad consumer reach and wide media support. Scripps also has an ongoing partnership through which its journalists volunteer in the classroom teaching the News Literacy Project’s curriculum to middle and high school students.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978535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460"/>
            <w:col w:w="9420"/>
          </w:cols>
          <w:pgMar w:left="320" w:top="3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19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9" w:name="page20"/>
    <w:bookmarkEnd w:id="19"/>
    <w:p>
      <w:pPr>
        <w:ind w:left="2960" w:right="180" w:hanging="326"/>
        <w:spacing w:after="0" w:line="255" w:lineRule="auto"/>
        <w:tabs>
          <w:tab w:leader="none" w:pos="296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Journalism Education &amp; Recognition</w:t>
      </w:r>
      <w:r>
        <w:rPr>
          <w:rFonts w:ascii="Arial" w:cs="Arial" w:eastAsia="Arial" w:hAnsi="Arial"/>
          <w:sz w:val="18"/>
          <w:szCs w:val="18"/>
          <w:color w:val="auto"/>
        </w:rPr>
        <w:t>. Scripps reporters, editors and management working on any journalism-producing platforms are expected to live up to standards of ethics and objectivity as outlined in the Journalism Ethics Guidelines (see link above). Journalists must be vigilant about their objectivity, integrity and thoroughness, and Scripps can play an important role in preparing them for this work. The Company’s philanthropic organization, the Scripps Howard Foundation, made grants totaling $3.2 million in 2020 to support journalism education in a wide variety of ways, as described on the Foundation’s website, scripps.com/foundation.</w:t>
      </w:r>
    </w:p>
    <w:p>
      <w:pPr>
        <w:spacing w:after="0" w:line="125" w:lineRule="exact"/>
        <w:rPr>
          <w:rFonts w:ascii="Arial" w:cs="Arial" w:eastAsia="Arial" w:hAnsi="Arial"/>
          <w:sz w:val="18"/>
          <w:szCs w:val="18"/>
          <w:color w:val="auto"/>
        </w:rPr>
      </w:pPr>
    </w:p>
    <w:p>
      <w:pPr>
        <w:jc w:val="both"/>
        <w:ind w:left="2960" w:right="220"/>
        <w:spacing w:after="0" w:line="259" w:lineRule="auto"/>
        <w:rPr>
          <w:rFonts w:ascii="Arial" w:cs="Arial" w:eastAsia="Arial" w:hAnsi="Arial"/>
          <w:sz w:val="18"/>
          <w:szCs w:val="18"/>
          <w:color w:val="auto"/>
        </w:rPr>
      </w:pPr>
      <w:r>
        <w:rPr>
          <w:rFonts w:ascii="Arial" w:cs="Arial" w:eastAsia="Arial" w:hAnsi="Arial"/>
          <w:sz w:val="18"/>
          <w:szCs w:val="18"/>
          <w:color w:val="auto"/>
        </w:rPr>
        <w:t>The Scripps Howard Foundation also operates the Scripps Howard Awards, one of the nation’s most prestigious American journalism competitions. The awards recognize journalism that spurs action, news organizations that go the extra mile to expose previously undisclosed or misunderstood information and journalists who embrace new tools, channels, technologies and approaches.</w:t>
      </w:r>
    </w:p>
    <w:p>
      <w:pPr>
        <w:spacing w:after="0" w:line="209" w:lineRule="exact"/>
        <w:rPr>
          <w:rFonts w:ascii="Arial" w:cs="Arial" w:eastAsia="Arial" w:hAnsi="Arial"/>
          <w:sz w:val="18"/>
          <w:szCs w:val="18"/>
          <w:color w:val="auto"/>
        </w:rPr>
      </w:pPr>
    </w:p>
    <w:p>
      <w:pPr>
        <w:ind w:left="2960" w:right="200" w:hanging="326"/>
        <w:spacing w:after="0" w:line="291" w:lineRule="auto"/>
        <w:tabs>
          <w:tab w:leader="none" w:pos="2969"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Defense of the First Amendment</w:t>
      </w:r>
      <w:r>
        <w:rPr>
          <w:rFonts w:ascii="Arial" w:cs="Arial" w:eastAsia="Arial" w:hAnsi="Arial"/>
          <w:sz w:val="16"/>
          <w:szCs w:val="16"/>
          <w:color w:val="auto"/>
        </w:rPr>
        <w:t>. As a result of the economic pressure on the news business, some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and not-for-profit news organizations have grown slower to challenge open-records law violations, government cover-up efforts and other public interest challenges that may require legal expense. At the same time, government officials have become more emboldened by the discrediting of the news media to ignore open records requests. In 2020, Scripps local news outlets conducted more than a dozen investigations that led to government action that benefited our communities. Scripps also partners with The Reporters Committee for Freedom of the Press to fund a legal fellow whose time is focused on supporting local newsrooms fighting for open records, access to courtrooms and public meetings, and general government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-2886710</wp:posOffset>
            </wp:positionV>
            <wp:extent cx="7132320" cy="510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5109210"/>
                    </a:xfrm>
                    <a:prstGeom prst="rect">
                      <a:avLst/>
                    </a:prstGeom>
                    <a:noFill/>
                  </pic:spPr>
                </pic:pic>
              </a:graphicData>
            </a:graphic>
          </wp:anchor>
        </w:drawing>
      </w:r>
    </w:p>
    <w:p>
      <w:pPr>
        <w:sectPr>
          <w:pgSz w:w="11900" w:h="16838" w:orient="portrait"/>
          <w:cols w:equalWidth="0" w:num="1">
            <w:col w:w="11220"/>
          </w:cols>
          <w:pgMar w:left="340" w:top="351" w:right="339"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0033A0"/>
        </w:rPr>
        <w:t>Corporate Giving</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0033A0"/>
        </w:rPr>
        <w:t>and</w:t>
      </w:r>
    </w:p>
    <w:p>
      <w:pPr>
        <w:ind w:left="260"/>
        <w:spacing w:after="0" w:line="230" w:lineRule="auto"/>
        <w:rPr>
          <w:sz w:val="20"/>
          <w:szCs w:val="20"/>
          <w:color w:val="auto"/>
        </w:rPr>
      </w:pPr>
      <w:r>
        <w:rPr>
          <w:rFonts w:ascii="Arial" w:cs="Arial" w:eastAsia="Arial" w:hAnsi="Arial"/>
          <w:sz w:val="22"/>
          <w:szCs w:val="22"/>
          <w:b w:val="1"/>
          <w:bCs w:val="1"/>
          <w:color w:val="0033A0"/>
        </w:rPr>
        <w:t>The Scripps</w:t>
      </w:r>
    </w:p>
    <w:p>
      <w:pPr>
        <w:ind w:left="420"/>
        <w:spacing w:after="0" w:line="231" w:lineRule="auto"/>
        <w:rPr>
          <w:sz w:val="20"/>
          <w:szCs w:val="20"/>
          <w:color w:val="auto"/>
        </w:rPr>
      </w:pPr>
      <w:r>
        <w:rPr>
          <w:rFonts w:ascii="Arial" w:cs="Arial" w:eastAsia="Arial" w:hAnsi="Arial"/>
          <w:sz w:val="22"/>
          <w:szCs w:val="22"/>
          <w:b w:val="1"/>
          <w:bCs w:val="1"/>
          <w:color w:val="0033A0"/>
        </w:rPr>
        <w:t>Howard</w:t>
      </w:r>
    </w:p>
    <w:p>
      <w:pPr>
        <w:ind w:left="300"/>
        <w:spacing w:after="0"/>
        <w:rPr>
          <w:sz w:val="20"/>
          <w:szCs w:val="20"/>
          <w:color w:val="auto"/>
        </w:rPr>
      </w:pPr>
      <w:r>
        <w:rPr>
          <w:rFonts w:ascii="Arial" w:cs="Arial" w:eastAsia="Arial" w:hAnsi="Arial"/>
          <w:sz w:val="22"/>
          <w:szCs w:val="22"/>
          <w:b w:val="1"/>
          <w:bCs w:val="1"/>
          <w:color w:val="0033A0"/>
        </w:rPr>
        <w:t>Foundation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Scripps gives back to many organizations in its corporate hometown of Cincinnati and in markets across the country where it does business. Employees are encouraged to take a paid Volunteer Day every year to spend time with an organization or cause about which they are passionate.</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Since 1962, the Scripps Howard Foundation has further amplified the Company’s charitable work. The Foundation supports journalism education that produces fair-minded, thoughtful reporters and editors; childhood literacy to promote a more educated populace; and basic needs social service organizations in the communities where we do business.</w:t>
      </w:r>
    </w:p>
    <w:p>
      <w:pPr>
        <w:spacing w:after="0" w:line="3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2020, the Foundation bestowed a total of $9 million in grants. That included $1.3 million through more than 100 grants and gifts to match employee donations or support employee volunteerism at community programs in Scripps markets. In addition, it gave about $900,000 to childhood literacy efforts through its “If You Give A Child A Book …” campaign, joined by members of the Scripps family and Scripps employees. Since the campaign’s inception in 2016, more than 500,000 books have been given to children in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1577340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160"/>
            <w:col w:w="9420"/>
          </w:cols>
          <w:pgMar w:left="34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0"/>
        <w:spacing w:after="0"/>
        <w:tabs>
          <w:tab w:leader="none" w:pos="5660" w:val="left"/>
          <w:tab w:leader="none" w:pos="960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-175895</wp:posOffset>
            </wp:positionV>
            <wp:extent cx="20574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20"/>
          </w:cols>
          <w:pgMar w:left="340" w:top="351" w:right="339" w:bottom="1440" w:gutter="0" w:footer="0" w:header="0"/>
          <w:type w:val="continuous"/>
        </w:sectPr>
      </w:pPr>
    </w:p>
    <w:bookmarkStart w:id="20" w:name="page21"/>
    <w:bookmarkEnd w:id="20"/>
    <w:p>
      <w:pPr>
        <w:jc w:val="center"/>
        <w:ind w:left="60"/>
        <w:spacing w:after="0" w:line="334" w:lineRule="auto"/>
        <w:rPr>
          <w:sz w:val="20"/>
          <w:szCs w:val="20"/>
          <w:color w:val="auto"/>
        </w:rPr>
      </w:pPr>
      <w:r>
        <w:rPr>
          <w:rFonts w:ascii="Arial" w:cs="Arial" w:eastAsia="Arial" w:hAnsi="Arial"/>
          <w:sz w:val="19"/>
          <w:szCs w:val="19"/>
          <w:b w:val="1"/>
          <w:bCs w:val="1"/>
          <w:color w:val="0033A0"/>
        </w:rPr>
        <w:t>Human Capital Management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Interest on the part of a broad range of investors and other stakeholders in Environmental, Social &amp; Governance (ESG) issues, Corporate Social Responsibility (CSR), and company sustainability continues to intensify. Similarly, Human Capital Management (HCM) increasingly is considered a significant driver of value and success to Scripps and many other companies. The global pandemic continues to shine a spotlight on these issues. When it began to spread across the U.S. in March 2020, Scripps identified three key priorities to guide its decision-making: protecting the health and welfare of its employees, executing its company mission and maintaining business continuity. By mid-March, Scripps had transitioned nearly all of its employees out of its workplaces without the interruption of news programming or other media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-1120775</wp:posOffset>
            </wp:positionV>
            <wp:extent cx="7132320" cy="2760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15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Additionally, the Company’s philanthropic organization, The Scripps Howard Foundation, created a fund to give aid to qualified Scripps employees adversely affected by the COVID-19 crisis. The Company made a donation to this employee relief fund equal to the amount of voluntary salary reductions from the senior leadership team and fee reductions from members of the Company’s board of directors. Members of the Scripps family also contributed significantly to the fund. Through year end, the fund had disbursed about $1.3 million to provide more than 800 employees up to $2,000 each for needs caused by the pandemic, such as food and basic household supplies, housing-related assistance, and childcare or eldercare costs.</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Critical to our success is identifying, recruiting, retaining, and incentivizing our existing and future employees. We strive to attract and retain the most talented employees in the industry by offering competitive compensation and benefits. Our compensation philosophy is based on rewarding each employee’s individual contributions and striving to achieve equal pay for equal work regardless of gender, race or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135890</wp:posOffset>
            </wp:positionV>
            <wp:extent cx="7132320" cy="2708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240"/>
            <w:col w:w="9440"/>
          </w:cols>
          <w:pgMar w:left="380" w:top="801" w:right="339" w:bottom="1440" w:gutter="0" w:footer="0" w:header="0"/>
        </w:sectPr>
      </w:pPr>
    </w:p>
    <w:p>
      <w:pPr>
        <w:spacing w:after="0" w:line="108" w:lineRule="exact"/>
        <w:rPr>
          <w:sz w:val="20"/>
          <w:szCs w:val="20"/>
          <w:color w:val="auto"/>
        </w:rPr>
      </w:pPr>
    </w:p>
    <w:p>
      <w:pPr>
        <w:jc w:val="center"/>
        <w:spacing w:after="0" w:line="334" w:lineRule="auto"/>
        <w:rPr>
          <w:sz w:val="20"/>
          <w:szCs w:val="20"/>
          <w:color w:val="auto"/>
        </w:rPr>
      </w:pPr>
      <w:r>
        <w:rPr>
          <w:rFonts w:ascii="Arial" w:cs="Arial" w:eastAsia="Arial" w:hAnsi="Arial"/>
          <w:sz w:val="19"/>
          <w:szCs w:val="19"/>
          <w:b w:val="1"/>
          <w:bCs w:val="1"/>
          <w:color w:val="0033A0"/>
        </w:rPr>
        <w:t>Equity, Diversity and Inclusion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20" w:right="460"/>
        <w:spacing w:after="0" w:line="277" w:lineRule="auto"/>
        <w:rPr>
          <w:sz w:val="20"/>
          <w:szCs w:val="20"/>
          <w:color w:val="auto"/>
        </w:rPr>
      </w:pPr>
      <w:r>
        <w:rPr>
          <w:rFonts w:ascii="Arial" w:cs="Arial" w:eastAsia="Arial" w:hAnsi="Arial"/>
          <w:sz w:val="18"/>
          <w:szCs w:val="18"/>
          <w:color w:val="auto"/>
        </w:rPr>
        <w:t>Scripps is committed to an equitable, diverse and inclusive workplace that reflects the communities where we live, work and play.</w:t>
      </w:r>
    </w:p>
    <w:p>
      <w:pPr>
        <w:spacing w:after="0" w:line="197" w:lineRule="exact"/>
        <w:rPr>
          <w:sz w:val="20"/>
          <w:szCs w:val="20"/>
          <w:color w:val="auto"/>
        </w:rPr>
      </w:pPr>
    </w:p>
    <w:p>
      <w:pPr>
        <w:ind w:left="20" w:right="180"/>
        <w:spacing w:after="0" w:line="279" w:lineRule="auto"/>
        <w:rPr>
          <w:sz w:val="20"/>
          <w:szCs w:val="20"/>
          <w:color w:val="auto"/>
        </w:rPr>
      </w:pPr>
      <w:r>
        <w:rPr>
          <w:rFonts w:ascii="Arial" w:cs="Arial" w:eastAsia="Arial" w:hAnsi="Arial"/>
          <w:sz w:val="17"/>
          <w:szCs w:val="17"/>
          <w:color w:val="auto"/>
        </w:rPr>
        <w:t>Scripps’ overarching Equity, Diversity and Inclusion (“EDI”) strategy is framed through three key areas: building awareness of the importance of EDI in our workplaces and communities; empowering leaders to lead the EDI charge in their business units or reporting structures; and tracking its equity, diversity and inclusion efforts, which culminates in regulatory reporting (Equal Employment Opportunity-1 reports), divisional analysis and regular reports to the Board.</w:t>
      </w:r>
    </w:p>
    <w:p>
      <w:pPr>
        <w:spacing w:after="0" w:line="198" w:lineRule="exact"/>
        <w:rPr>
          <w:sz w:val="20"/>
          <w:szCs w:val="20"/>
          <w:color w:val="auto"/>
        </w:rPr>
      </w:pPr>
    </w:p>
    <w:p>
      <w:pPr>
        <w:ind w:left="20" w:right="420"/>
        <w:spacing w:after="0" w:line="259" w:lineRule="auto"/>
        <w:rPr>
          <w:sz w:val="20"/>
          <w:szCs w:val="20"/>
          <w:color w:val="auto"/>
        </w:rPr>
      </w:pPr>
      <w:r>
        <w:rPr>
          <w:rFonts w:ascii="Arial" w:cs="Arial" w:eastAsia="Arial" w:hAnsi="Arial"/>
          <w:sz w:val="18"/>
          <w:szCs w:val="18"/>
          <w:color w:val="auto"/>
        </w:rPr>
        <w:t>Leading Scripps’ diversity, equity and inclusion strategies across the enterprise is a chief diversity officer. She and her team partner with business and human resources leaders across the company to develop and implement the EDI strategy as well as action plans that continually evolve Scripps’ equity, diversity and inclusion commitment. The components of these plans include:</w:t>
      </w:r>
    </w:p>
    <w:p>
      <w:pPr>
        <w:spacing w:after="0" w:line="21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EDI Strategic Premise</w:t>
      </w:r>
      <w:r>
        <w:rPr>
          <w:rFonts w:ascii="Arial" w:cs="Arial" w:eastAsia="Arial" w:hAnsi="Arial"/>
          <w:sz w:val="18"/>
          <w:szCs w:val="18"/>
          <w:color w:val="auto"/>
        </w:rPr>
        <w:t>: Scripps’ equity, diversity and inclusion strategy will support the Company’s continued evolution by</w:t>
      </w:r>
      <w:r>
        <w:rPr>
          <w:rFonts w:ascii="Arial" w:cs="Arial" w:eastAsia="Arial" w:hAnsi="Arial"/>
          <w:sz w:val="18"/>
          <w:szCs w:val="18"/>
          <w:b w:val="1"/>
          <w:bCs w:val="1"/>
          <w:color w:val="auto"/>
        </w:rPr>
        <w:t xml:space="preserve"> </w:t>
      </w:r>
      <w:r>
        <w:rPr>
          <w:rFonts w:ascii="Arial" w:cs="Arial" w:eastAsia="Arial" w:hAnsi="Arial"/>
          <w:sz w:val="18"/>
          <w:szCs w:val="18"/>
          <w:color w:val="auto"/>
        </w:rPr>
        <w:t>maximizing the potential of our diverse workforce, leading to better business results.</w:t>
      </w:r>
    </w:p>
    <w:p>
      <w:pPr>
        <w:spacing w:after="0" w:line="189"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b w:val="1"/>
          <w:bCs w:val="1"/>
          <w:color w:val="auto"/>
        </w:rPr>
        <w:t>EDI Vision</w:t>
      </w:r>
      <w:r>
        <w:rPr>
          <w:rFonts w:ascii="Arial" w:cs="Arial" w:eastAsia="Arial" w:hAnsi="Arial"/>
          <w:sz w:val="18"/>
          <w:szCs w:val="18"/>
          <w:color w:val="auto"/>
        </w:rPr>
        <w:t>: Transforming our business, and the communities where we live, work and play, by acknowledging, incorporating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uplifting our increasingly diverse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748665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180"/>
            <w:col w:w="9440"/>
          </w:cols>
          <w:pgMar w:left="380" w:top="8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tabs>
          <w:tab w:leader="none" w:pos="5620" w:val="left"/>
          <w:tab w:leader="none" w:pos="956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183515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-175895</wp:posOffset>
            </wp:positionV>
            <wp:extent cx="20574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type w:val="continuous"/>
        </w:sectPr>
      </w:pPr>
    </w:p>
    <w:bookmarkStart w:id="21" w:name="page22"/>
    <w:bookmarkEnd w:id="21"/>
    <w:p>
      <w:pPr>
        <w:ind w:left="100"/>
        <w:spacing w:after="0"/>
        <w:rPr>
          <w:sz w:val="20"/>
          <w:szCs w:val="20"/>
          <w:color w:val="auto"/>
        </w:rPr>
      </w:pPr>
      <w:r>
        <w:rPr>
          <w:rFonts w:ascii="Arial" w:cs="Arial" w:eastAsia="Arial" w:hAnsi="Arial"/>
          <w:sz w:val="19"/>
          <w:szCs w:val="19"/>
          <w:b w:val="1"/>
          <w:bCs w:val="1"/>
          <w:color w:val="0033A0"/>
        </w:rPr>
        <w:t>Safety, Security,</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0033A0"/>
        </w:rPr>
        <w:t>and Wellbeing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color w:val="auto"/>
        </w:rPr>
        <w:t>Employee Safety</w:t>
      </w:r>
      <w:r>
        <w:rPr>
          <w:rFonts w:ascii="Arial" w:cs="Arial" w:eastAsia="Arial" w:hAnsi="Arial"/>
          <w:sz w:val="17"/>
          <w:szCs w:val="17"/>
          <w:color w:val="auto"/>
        </w:rPr>
        <w:t>: Scripps assembled a team of internal experts in risk management into an Enterprise Response Team that</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anticipates and manages events that create significant risk to both our business and our people, from extreme weather such as hurricanes in our Florida markets to potential workplace safety and violence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-598805</wp:posOffset>
            </wp:positionV>
            <wp:extent cx="7132320" cy="2400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400300"/>
                    </a:xfrm>
                    <a:prstGeom prst="rect">
                      <a:avLst/>
                    </a:prstGeom>
                    <a:noFill/>
                  </pic:spPr>
                </pic:pic>
              </a:graphicData>
            </a:graphic>
          </wp:anchor>
        </w:drawing>
      </w:r>
    </w:p>
    <w:p>
      <w:pPr>
        <w:spacing w:after="0" w:line="16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Employee Wellbeing</w:t>
      </w:r>
      <w:r>
        <w:rPr>
          <w:rFonts w:ascii="Arial" w:cs="Arial" w:eastAsia="Arial" w:hAnsi="Arial"/>
          <w:sz w:val="17"/>
          <w:szCs w:val="17"/>
          <w:color w:val="auto"/>
        </w:rPr>
        <w:t>: Free employee well-being programs take a holistic approach, covering not just good physical health but</w:t>
      </w:r>
      <w:r>
        <w:rPr>
          <w:rFonts w:ascii="Arial" w:cs="Arial" w:eastAsia="Arial" w:hAnsi="Arial"/>
          <w:sz w:val="17"/>
          <w:szCs w:val="17"/>
          <w:b w:val="1"/>
          <w:bCs w:val="1"/>
          <w:color w:val="auto"/>
        </w:rPr>
        <w:t xml:space="preserve"> </w:t>
      </w:r>
      <w:r>
        <w:rPr>
          <w:rFonts w:ascii="Arial" w:cs="Arial" w:eastAsia="Arial" w:hAnsi="Arial"/>
          <w:sz w:val="17"/>
          <w:szCs w:val="17"/>
          <w:color w:val="auto"/>
        </w:rPr>
        <w:t>also mental and financial well-being. Scripps encourages employees to participate in these programs through financial incentives such as premium reductions and company contributions to their Health Savings Accounts.</w:t>
      </w:r>
    </w:p>
    <w:p>
      <w:pPr>
        <w:spacing w:after="0" w:line="18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b w:val="1"/>
          <w:bCs w:val="1"/>
          <w:color w:val="auto"/>
        </w:rPr>
        <w:t>Cybersecurity</w:t>
      </w:r>
      <w:r>
        <w:rPr>
          <w:rFonts w:ascii="Arial" w:cs="Arial" w:eastAsia="Arial" w:hAnsi="Arial"/>
          <w:sz w:val="16"/>
          <w:szCs w:val="16"/>
          <w:color w:val="auto"/>
        </w:rPr>
        <w:t>: While Scripps runs very little electronic commerce, it owns and operates websites and apps that capture small</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of data on our customers and website visitors. Security breaches, computer malware or other cyber-attacks could harm our business, our customers or our reputation by disrupting our delivery of news and advertising services or jeopardizing confidential information. For that reason, the Company continuously works to protect itself and its partners against financial, regulatory and reputational costs that could result from the unintended disclosure of company information. This includes regulatory compliance with HIPAA, PCI Data Security Standards and domestic and international data privacy laws as well as protecting against data breaches and disclosure of confidential company or customer information. The Board receives quarterly reports on the Company’s cybersecurity programs and initiatives and more frequent updates if events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121285</wp:posOffset>
            </wp:positionV>
            <wp:extent cx="7132320" cy="1714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240"/>
            <w:col w:w="9420"/>
          </w:cols>
          <w:pgMar w:left="320" w:top="450" w:right="339" w:bottom="1440" w:gutter="0" w:footer="0" w:header="0"/>
        </w:sectPr>
      </w:pPr>
    </w:p>
    <w:p>
      <w:pPr>
        <w:spacing w:after="0" w:line="8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033A0"/>
        </w:rPr>
        <w:t>Environment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Because it is a broadcast company, Scripps’ carbon footprint is reasonably light. However, we all have a role to play in environmental sustainability, and Scripps is taking an active approach to further lighten its impact. It has begun the process of transitioning the lighting in its buildings to more efficient LED bulbs, including in video production studios. Many of our operations have undergone energy audits to identify more opportunity for efficiency. The stations have transitioned to cellular-based backpacks for transmitting video signals to local television stations, avoiding the need for fleets of fuel-dependent trucks. Recycling programs are run at the corporate office and many of our local and national media locations.</w:t>
      </w:r>
    </w:p>
    <w:p>
      <w:pPr>
        <w:spacing w:after="0" w:line="20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Scripps knows sustainability will be an ongoing effort. Its corporate billing team is in the process of moving to electronic invoices, and the Cincinnati television station is piloting the use of an electric vehicle for newsgathering.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Scripps is a member of the Green Business Council of Cincinnati.</w:t>
      </w:r>
    </w:p>
    <w:p>
      <w:pPr>
        <w:spacing w:after="0" w:line="200" w:lineRule="exact"/>
        <w:rPr>
          <w:sz w:val="20"/>
          <w:szCs w:val="20"/>
          <w:color w:val="auto"/>
        </w:rPr>
      </w:pPr>
    </w:p>
    <w:p>
      <w:pPr>
        <w:sectPr>
          <w:pgSz w:w="11900" w:h="16838" w:orient="portrait"/>
          <w:cols w:equalWidth="0" w:num="2">
            <w:col w:w="1460" w:space="360"/>
            <w:col w:w="9420"/>
          </w:cols>
          <w:pgMar w:left="320" w:top="45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Company's Corporate Social Responsibility plan, please visit www.scripps.com.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9"/>
          <w:szCs w:val="29"/>
          <w:b w:val="1"/>
          <w:bCs w:val="1"/>
          <w:color w:val="0033A0"/>
        </w:rPr>
        <w:t>Corporate Governance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is committed to good corporate governance, good business practices and transparency in financial reporting. The nominating &amp; governance committee annually reviews the Company’s corporate governance principles, a copy of which is available on the Company’s website (www.scripps.com) by first clicking on "Investors" and then on “Corporate Governance.” Copies are available in print to any shareholder who requests a copy by contacting the Company’s secretary at secretary@scripps.com or at 312 Walnut Street, Suite 2800, Cincinnati, Ohio, 45202.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Richard A. Boehne, the Company’s former President and Chief Executive Officer, serves as chairman of the Board. Ms. Williams serves as the lead independent director. Mr. Boehne announced his retirement from the Board effective as of May 3, 2021, and if elected, Ms. Williams will succeed Mr. Boehne as chairperson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Charitable Contributions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not made any charitable contributions, where the amount exceeded $1 million, or 2 percent of such charity’s consolidated gross revenues, to any charitable organization of which a director is an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demonstrates its commitment to operate at the highest ethical standards by enforcing the principles in its Code of Conduct, which is applicable to all employees. The Company’s chief ethics officer is responsible for implementation and oversight of the ethics program and reports to the nominating &amp; governance committee on quarterly activity. Additionally, the Company has in place a Code of Business Conduct and Ethics for the Chief Executive Officer and the Senior Financial and Accounting Officers. It is the responsibility of the nominating &amp; governance committee and the chief financial officer to make sure that this policy is operative and has effective reporting and enforcement mechanisms. Both the Code of Business Conduct and Ethics for the Chief Executive Officer and Senior Financial Officers and the Code of Conduct are available for review on the Company’s website at www.scripps.com (click on "Investors" and then on “Corporate Governance”) and to any shareholder who requests a printed copy from the Company’s secretary at secretary@scripps.com or at 312 Walnut Street, Suite 2800, Cincinnati, Ohio 45202.</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believes it has an obligation to provide employees with the guidance and support needed to ensure that lawful and ethical choices are made at work. To support this commitment, the Company requires all employees to take an online code of conduct learning module annually to ensure that employees understand the Code of Conduct and the importance that the Company places on ethical behavior and compliance with the law. In addition, the Company has established a means for employees to submit confidential and anonymous reports of suspected or actual violations of the Company’s Code of Ethics relating, among other things, to: accounting and auditing matters; antitrust activity; confidentiality and misappropriation; conflict of interest; discrimination or harassment; diverting of product or business activity; embezzlement; employee relations; falsification of contracts, reports or records; gifts or entertainment; improper supplier or contractor activity; leadership or management issues; securities law violations; sexual harassment; substance abuse; theft; or unsafe working conditions. To submit a report, an employee may call a toll-free number that is answered by a trained professional of EthicsPoint, an independent firm. This number (888-397-4911) is operational 24 hours a day, seven days a week. Employees may also raise questions online through the Internet (</w:t>
      </w:r>
      <w:r>
        <w:rPr>
          <w:rFonts w:ascii="Arial" w:cs="Arial" w:eastAsia="Arial" w:hAnsi="Arial"/>
          <w:sz w:val="16"/>
          <w:szCs w:val="16"/>
          <w:u w:val="single" w:color="auto"/>
          <w:color w:val="auto"/>
        </w:rPr>
        <w:t>www.ethicspoint.com</w:t>
      </w:r>
      <w:r>
        <w:rPr>
          <w:rFonts w:ascii="Arial" w:cs="Arial" w:eastAsia="Arial" w:hAnsi="Arial"/>
          <w:sz w:val="16"/>
          <w:szCs w:val="16"/>
          <w:color w:val="auto"/>
        </w:rPr>
        <w:t>) or by a direct phone line to the Company’s chief ethics officer.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and other interested parties wishing to communicate with the Board may do so by addressing letters to the secretary of the Company at secretary@scripps.com or by mail at 312 Walnut Street, Suite 2800, Cincinnati, Ohio, 45202. The Board has instructed the secretary to review all communications so received (via e-mail or regular mail), and to exercise her discretion not to forward to the directors’ correspondence that is not germane to the business affairs of the Company. Correspondence not forwarded will be retained for one year, and any director may request the secretary to forward any and all such communications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Communications with Shareholders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the importance of regular and transparent communication with our shareholders. Each year, we continually engage with a large percentage of shareholders, including our top institutional investors. In 2020, many investor conferences became virtual, and we were able to increase the number of meetings we held. Our ION acquisition also has brought new investor interest. In our meetings, we discuss a variety of topics, including business growth strategies, corporate governance practices, board composition and other matters of shareholder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Attendance at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Board members attended the Company’s 2020 Annual Meeting of Shareholders, although the Company does not have a policy that requires attendance.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Education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directors attend an orientation session that introduces them to the Company’s operations and to the members of management. In addition, new committee members receive an orientation specific to the committee on which they will serve. Thereafter, directors are informed on a regular basis of various director educational programs offered by governance and director organizations, as well as industry conferences. The Company pays for the continuing education of its directors. During 2020, Board members attended numerous continuing education programs, including those sponsored by Deloitte, the National Association of Corporate Directors, Corporate Board Member and Kellogg School of Management. The director orientation policy is reviewed by the nominating &amp; governance committee annually.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determined that, with the exception of Adam P. Symson, current President and Chief Executive Officer, all of the directors and nominees for director are independent under the standards established by Nasdaq. All of the members of the nominating &amp; governance committee, audit committee and compensation committee are independent under such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 — 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determined that none of the current members of the audit committee has any relationship with the Company that could interfere with his or her exercise of independence from management and the Company. Each of the members satisfies the definitions of independence set forth in the rules promulgated under the Sarbanes-Oxley Act and in the listing standards of Nasdaq. The Board determined that each member of the committee meets the experience and expertise requirements of Nasdaq and that Ms. Williams is an audit committee financial expert as defined in the Securities and Exchange Commission rules adopted under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 — Controlled Company Status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Nasdaq requires listed companies to have a majority of independent directors on their boards and to ensure that their audit committee, compensation committee and nominating &amp; governance committee are composed entirely of independent directors as well. A company that qualifies as a “controlled company” does not have to comply with these independence rules so long as it discloses to shareholders that the company qualifies as a “controlled company” and that it is relying on this exemption in not having a majority of independent directors on the board of directors or not having audit, compensation, and nominating &amp; governance committees comprised entirely of independent directors. A “controlled company” is a listed company of which more than 50 percent of the voting power is held by an individual, a group, or another company. The Signatories to the Scripps Family Agreement hold a majority of the Company’s outstanding Common Voting Shares. As such, the Company qualifies as a “controlled company” and may rely on the Nasdaq exemption. The Company is not relying at present on that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nominating &amp; governance committee will consider any candidate recommended by the shareholders of the Company in light of the committee’s criteria for selection of new directors. If a shareholder wishes to recommend a candidate, he or she should send the recommendation, with a description of the candidate’s qualifications, to: Chair, Nominating &amp; Governance Committee, c/o Ms. Julie L. McGehee, The E.W. Scripps Company, 312 Walnut Street, Suite 2800, Cincinnati, Ohio 45202 or at secretary@scripps.com. In the past, the committee has hired an independent consultant to assist with the identification and evaluation of director nominees and may do so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 and Diversity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selecting director nominees, the nominating &amp; governance committee considers requirements of applicable law and listing standards, as well as the director qualification standards highlighted in the Company’s corporate governance principles. The committee is responsible for reviewing with the Board the requisite skills and characteristics of Board candidates as well as the diversity and composition of the Board as a whole. A person considered for nomination to the Board must be a person of high integrity. Other factors considered are independence, age, gender, broad discernment, skills, industry knowledge and experience in the context of the needs of the Board. The nominating &amp; governance committee makes recommendations to the Board regarding the selection of director nominees.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each director nominated for election at the Annual Meeting of Shareholders, the Board considered each of the factors highlighted in the preceding paragraph, and the nominees’ biographical information and work experience and determined that, if elected, the nominees would enable the Board as a whole to perform its duties in an efficient and effective manner. Among other things, all of the nominees bring integrity and good business judgment to Board discussions. More specifically, Mr. Alexander, Mr. Conlin, Ms. Fine, Ms. Lucas, Mr. Symson, and Ms. Williams bring a working knowledge of the industry or have direct television or digital experience; Mr. Hayden is a retired chief executive officer; and Mr. Barmonde (Scripps family member), Ms. La Dow (Scripps family member and former employee of a subsidiary (from January 1989 to January 1995) of the Company) and Mr. Scagliotti (Scripps family member) bring to the Board institutional knowledge and a thorough understanding of the Company’s history and vision.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 general retirement age for directors who are not signatories to the Scripps Family Agreement of 72 as of the nomination date with two optional, one-year extensions, with approval from the full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Self-Assessments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year, the Board and the Board’s audit, nominating &amp; governance and compensation committees conduct self-assessments to evaluate their effectiveness and to identify opportunities for improvement. This self-assessment may be conducted in the form of written or oral questionnaires administered by Board members, management or third parties. Directors respond to questions designed to elicit information to be used in improving Board and committee effectiveness. The self-assessment is designed to gather suggestions to improve Board effectiveness and solicit additional feedback on Board operations, composition, and priority agenda topics. This process also allows the Board to identify opportunities for Board succession and skills.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periodically utilizes a third-party firm to conduct the evaluation process to bring in an outside perspective to the evaluation process. An outside firm was last used in 2019 to conduct the board and committee self-assessments.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Service on Other Audit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 of the Company’s directors currently serves on the audit committees of more than three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Risk Oversight — the Board’s Role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Risk oversight is a key responsibility of the Board, the fulfillment of which is of primary importance to the Company. Through its periodic review of the Company’s business strategies, the Board assesses management’s perception of and tolerance for risk and advises on the appropriate level of risk for the Company. The audit committee of the Board reviews and discusses the Company’s risk assessment and risk management policies with management on a quarterly basis. The Company’s governance, enterprise risk management and compliance (“GRC”) committee reports quarterly to the audit committee, and the committee’s written risk management report is included in the Board’s quarterly meeting materials. The GRC committee is chaired by the Company’s General Counsel (chief compliance officer), who reports directly to the audit committee on compliance matters, and its members are division leaders and heads of key functional areas such as finance, human resources and information technology.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monitors cybersecurity and technology risks through the audit committee. The audit committee receives quarterly updates on the status of the Company’s cybersecurity program from the Chief Information Security Officer ("CISO") as well as intermittent updates when certain situations arise. Additionally, the CISO reviews the Company's cybersecurity strategy with the audit committee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9"/>
          <w:szCs w:val="29"/>
          <w:b w:val="1"/>
          <w:bCs w:val="1"/>
          <w:color w:val="0033A0"/>
        </w:rPr>
        <w:t>Audit 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Responsibilities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is comprised solely of independent directors and, among other things, is responsible for the following reviews, approvals and processes:</w:t>
      </w:r>
    </w:p>
    <w:p>
      <w:pPr>
        <w:spacing w:after="0" w:line="6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The engagement of the Company’s independent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The determination as to the independence and performance of the independent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The determination as to the performance of the internal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the scope of the independent audit and the internal audit plan.</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Pre-approval of audit and non-audit services.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disclosure controls and procedures.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management’s annual report on internal controls over financial reporting.</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annual and quarterly Securities and Exchange Commission filings.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communications required to be reported to the committee by the independent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certain regulatory and accounting matters with internal and independent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Consultation with independent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Preparation of its report for the proxy statement.</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Committee performance evaluation.</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policies for employing former employees of the independent auditors.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financial “whistleblowing” complaints.</w:t>
      </w:r>
    </w:p>
    <w:p>
      <w:pPr>
        <w:spacing w:after="0" w:line="117"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legal and regulatory compliance.</w:t>
      </w:r>
    </w:p>
    <w:p>
      <w:pPr>
        <w:spacing w:after="0" w:line="117" w:lineRule="exact"/>
        <w:rPr>
          <w:rFonts w:ascii="Arial" w:cs="Arial" w:eastAsia="Arial" w:hAnsi="Arial"/>
          <w:sz w:val="18"/>
          <w:szCs w:val="18"/>
          <w:color w:val="0033A0"/>
        </w:rPr>
      </w:pPr>
    </w:p>
    <w:p>
      <w:pPr>
        <w:ind w:left="260" w:right="20" w:hanging="252"/>
        <w:spacing w:after="0" w:line="277" w:lineRule="auto"/>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enterprise risk issues including, but not limited to, financial, cybersecurity, data privacy, information technology, legal and business continuity.</w:t>
      </w:r>
    </w:p>
    <w:p>
      <w:pPr>
        <w:spacing w:after="0" w:line="62" w:lineRule="exact"/>
        <w:rPr>
          <w:rFonts w:ascii="Arial" w:cs="Arial" w:eastAsia="Arial" w:hAnsi="Arial"/>
          <w:sz w:val="18"/>
          <w:szCs w:val="18"/>
          <w:color w:val="0033A0"/>
        </w:rPr>
      </w:pPr>
    </w:p>
    <w:p>
      <w:pPr>
        <w:ind w:left="260" w:hanging="252"/>
        <w:spacing w:after="0"/>
        <w:tabs>
          <w:tab w:leader="none" w:pos="260" w:val="left"/>
        </w:tabs>
        <w:numPr>
          <w:ilvl w:val="0"/>
          <w:numId w:val="22"/>
        </w:numPr>
        <w:rPr>
          <w:rFonts w:ascii="Arial" w:cs="Arial" w:eastAsia="Arial" w:hAnsi="Arial"/>
          <w:sz w:val="18"/>
          <w:szCs w:val="18"/>
          <w:color w:val="0033A0"/>
        </w:rPr>
      </w:pPr>
      <w:r>
        <w:rPr>
          <w:rFonts w:ascii="Arial" w:cs="Arial" w:eastAsia="Arial" w:hAnsi="Arial"/>
          <w:sz w:val="18"/>
          <w:szCs w:val="18"/>
          <w:color w:val="auto"/>
        </w:rPr>
        <w:t>Review of certain transactions with directors and related parties.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discharging its oversight responsibility as to the audit process, the audit committee reviewed and discussed the audited financial statements of the Company for the year ended December 31, 2020, with the Company’s management, including a discussion of the quality, not just the acceptability, of the accounting principles; the reasonableness of significant judgments; and the clarity of disclosures in the financial statements. The audit committee also discussed with the Company’s internal auditor, and with Deloitte &amp; Touche LLP, and its subsidiaries and affiliates (“Deloitte”), the Company’s independent registered public accounting firm for the year ended December 31, 2020, the overall scope and plan for their respective audits. The audit committee meets with the internal auditor and Deloitte, with and without management present, to discuss the results of their examination, their evaluation of the Company’s internal controls, and the overall quality of the Company’s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the External Auditors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established a pre-approval policy and procedures for audit, audit-related and tax services that can be performed by the independent auditors without specific authorization from the audit committee subject to certain restrictions. The policy sets out the specific services pre-approved by the audit committee and the applicable limitations, while ensuring the independence of the independent auditors to audit the Company’s financial statements is not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7" w:name="page28"/>
    <w:bookmarkEnd w:id="27"/>
    <w:p>
      <w:pPr>
        <w:ind w:left="2140"/>
        <w:spacing w:after="0"/>
        <w:rPr>
          <w:sz w:val="20"/>
          <w:szCs w:val="20"/>
          <w:color w:val="auto"/>
        </w:rPr>
      </w:pPr>
      <w:r>
        <w:rPr>
          <w:rFonts w:ascii="Arial" w:cs="Arial" w:eastAsia="Arial" w:hAnsi="Arial"/>
          <w:sz w:val="29"/>
          <w:szCs w:val="29"/>
          <w:b w:val="1"/>
          <w:bCs w:val="1"/>
          <w:color w:val="0033A0"/>
        </w:rPr>
        <w:t>Report of the Audit Committee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financial statements for the fiscal year ended December 31, 2020, the audit committee has:</w:t>
      </w:r>
    </w:p>
    <w:p>
      <w:pPr>
        <w:spacing w:after="0" w:line="11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pursuant to auditing standards adopted by the Public Company Accounting Oversight Board; and</w:t>
      </w:r>
    </w:p>
    <w:p>
      <w:pPr>
        <w:spacing w:after="0" w:line="62" w:lineRule="exact"/>
        <w:rPr>
          <w:rFonts w:ascii="Arial" w:cs="Arial" w:eastAsia="Arial" w:hAnsi="Arial"/>
          <w:sz w:val="18"/>
          <w:szCs w:val="18"/>
          <w:color w:val="auto"/>
        </w:rPr>
      </w:pPr>
    </w:p>
    <w:p>
      <w:pPr>
        <w:ind w:left="260" w:hanging="252"/>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received the written disclosures and letter from Deloitte required by applicable requirements of the Public Accounting Oversight Board regarding Deloitte’s communication with the audit committee concerning independence, and has discussed with Deloitte, Deloitte’s independence.</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Based upon these reviews and discussions, the audit committee recommended to the Board that the audited financial statements be included in the Company’s annual report on Form 10-K for the year ended December 31, 2020, for filing with the Securities and Exchange Commission.</w:t>
      </w:r>
    </w:p>
    <w:p>
      <w:pPr>
        <w:spacing w:after="0" w:line="214"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The Audit Committee</w:t>
      </w:r>
    </w:p>
    <w:p>
      <w:pPr>
        <w:spacing w:after="0" w:line="32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Kim Williams, Chair</w:t>
      </w:r>
    </w:p>
    <w:p>
      <w:pPr>
        <w:spacing w:after="0" w:line="7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Lauren Rich Fine</w:t>
      </w:r>
    </w:p>
    <w:p>
      <w:pPr>
        <w:spacing w:after="0" w:line="7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John W. Hayden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9"/>
          <w:szCs w:val="29"/>
          <w:b w:val="1"/>
          <w:bCs w:val="1"/>
          <w:color w:val="0033A0"/>
        </w:rPr>
        <w:t>Compensation Committee Report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of the Company’s Board (collectively, the “Committee”) has submitted the following report for inclusion in this Proxy Statement: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Committee has reviewed and discussed the Compensation Discussion and Analysis contained in this Proxy Statement with management. Based on our Committee’s review of and the discussions with management with respect to the Compensation Discussion and Analysis, our Committee recommended to the Board that the Compensation Discussion and Analysis be included in this Proxy Statement and in the Company’s Annual Report on Form 10-K for the year ended December 31, 2020, for filing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report is provided by the following directors, who constitute the Committee:</w:t>
      </w:r>
    </w:p>
    <w:p>
      <w:pPr>
        <w:spacing w:after="0" w:line="29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The Compensation Committee</w:t>
      </w:r>
    </w:p>
    <w:p>
      <w:pPr>
        <w:spacing w:after="0" w:line="33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Kelly P. Conlin, Chair</w:t>
      </w:r>
    </w:p>
    <w:p>
      <w:pPr>
        <w:spacing w:after="0" w:line="9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Marcellus W. Alexander, Jr.</w:t>
      </w:r>
    </w:p>
    <w:p>
      <w:pPr>
        <w:spacing w:after="0" w:line="9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Anne M. La Dow</w:t>
      </w:r>
    </w:p>
    <w:p>
      <w:pPr>
        <w:spacing w:after="0" w:line="9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Wonya 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29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9"/>
          <w:szCs w:val="29"/>
          <w:b w:val="1"/>
          <w:bCs w:val="1"/>
          <w:color w:val="0033A0"/>
        </w:rPr>
        <w:t>Compensation Discussion and Analysis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Compensation Discussion and Analysis explains the Company’s compensation program for our named executive officers. The Company’s named executive officers for 2020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80" w:type="dxa"/>
            <w:vAlign w:val="bottom"/>
            <w:tcBorders>
              <w:top w:val="single" w:sz="8" w:color="BFBFBF"/>
              <w:bottom w:val="single" w:sz="8" w:color="BFBFBF"/>
            </w:tcBorders>
            <w:shd w:val="clear" w:color="auto" w:fill="E6E6E6"/>
          </w:tcPr>
          <w:p>
            <w:pPr>
              <w:ind w:left="180"/>
              <w:spacing w:after="0"/>
              <w:rPr>
                <w:sz w:val="20"/>
                <w:szCs w:val="20"/>
                <w:color w:val="auto"/>
              </w:rPr>
            </w:pPr>
            <w:r>
              <w:rPr>
                <w:rFonts w:ascii="Arial" w:cs="Arial" w:eastAsia="Arial" w:hAnsi="Arial"/>
                <w:sz w:val="14"/>
                <w:szCs w:val="14"/>
                <w:b w:val="1"/>
                <w:bCs w:val="1"/>
                <w:color w:val="0033A0"/>
              </w:rPr>
              <w:t>Name</w:t>
            </w:r>
          </w:p>
        </w:tc>
        <w:tc>
          <w:tcPr>
            <w:tcW w:w="8340" w:type="dxa"/>
            <w:vAlign w:val="bottom"/>
            <w:tcBorders>
              <w:top w:val="single" w:sz="8" w:color="BFBFBF"/>
              <w:bottom w:val="single" w:sz="8" w:color="BFBFBF"/>
            </w:tcBorders>
            <w:shd w:val="clear" w:color="auto" w:fill="E6E6E6"/>
          </w:tcPr>
          <w:p>
            <w:pPr>
              <w:ind w:left="1280"/>
              <w:spacing w:after="0"/>
              <w:rPr>
                <w:sz w:val="20"/>
                <w:szCs w:val="20"/>
                <w:color w:val="auto"/>
              </w:rPr>
            </w:pPr>
            <w:r>
              <w:rPr>
                <w:rFonts w:ascii="Arial" w:cs="Arial" w:eastAsia="Arial" w:hAnsi="Arial"/>
                <w:sz w:val="14"/>
                <w:szCs w:val="14"/>
                <w:b w:val="1"/>
                <w:bCs w:val="1"/>
                <w:color w:val="0033A0"/>
              </w:rPr>
              <w:t>Title as of December 31, 2020</w:t>
            </w:r>
          </w:p>
        </w:tc>
      </w:tr>
      <w:tr>
        <w:trPr>
          <w:trHeight w:val="256"/>
        </w:trPr>
        <w:tc>
          <w:tcPr>
            <w:tcW w:w="2880" w:type="dxa"/>
            <w:vAlign w:val="bottom"/>
          </w:tcPr>
          <w:p>
            <w:pPr>
              <w:ind w:left="180"/>
              <w:spacing w:after="0"/>
              <w:rPr>
                <w:sz w:val="20"/>
                <w:szCs w:val="20"/>
                <w:color w:val="auto"/>
              </w:rPr>
            </w:pPr>
            <w:r>
              <w:rPr>
                <w:rFonts w:ascii="Arial" w:cs="Arial" w:eastAsia="Arial" w:hAnsi="Arial"/>
                <w:sz w:val="18"/>
                <w:szCs w:val="18"/>
                <w:b w:val="1"/>
                <w:bCs w:val="1"/>
                <w:color w:val="0033A0"/>
              </w:rPr>
              <w:t>Adam P. Symson</w:t>
            </w:r>
          </w:p>
        </w:tc>
        <w:tc>
          <w:tcPr>
            <w:tcW w:w="8340" w:type="dxa"/>
            <w:vAlign w:val="bottom"/>
          </w:tcPr>
          <w:p>
            <w:pPr>
              <w:ind w:left="128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880" w:type="dxa"/>
            <w:vAlign w:val="bottom"/>
            <w:tcBorders>
              <w:bottom w:val="single" w:sz="8" w:color="BFBFBF"/>
            </w:tcBorders>
          </w:tcPr>
          <w:p>
            <w:pPr>
              <w:spacing w:after="0"/>
              <w:rPr>
                <w:sz w:val="2"/>
                <w:szCs w:val="2"/>
                <w:color w:val="auto"/>
              </w:rPr>
            </w:pPr>
          </w:p>
        </w:tc>
        <w:tc>
          <w:tcPr>
            <w:tcW w:w="8340" w:type="dxa"/>
            <w:vAlign w:val="bottom"/>
            <w:tcBorders>
              <w:bottom w:val="single" w:sz="8" w:color="BFBFBF"/>
            </w:tcBorders>
          </w:tcPr>
          <w:p>
            <w:pPr>
              <w:spacing w:after="0"/>
              <w:rPr>
                <w:sz w:val="2"/>
                <w:szCs w:val="2"/>
                <w:color w:val="auto"/>
              </w:rPr>
            </w:pPr>
          </w:p>
        </w:tc>
      </w:tr>
      <w:tr>
        <w:trPr>
          <w:trHeight w:val="282"/>
        </w:trPr>
        <w:tc>
          <w:tcPr>
            <w:tcW w:w="288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8"/>
                <w:szCs w:val="18"/>
                <w:b w:val="1"/>
                <w:bCs w:val="1"/>
                <w:color w:val="0033A0"/>
              </w:rPr>
              <w:t>Lisa A. Knutson*</w:t>
            </w:r>
          </w:p>
        </w:tc>
        <w:tc>
          <w:tcPr>
            <w:tcW w:w="8340" w:type="dxa"/>
            <w:vAlign w:val="bottom"/>
            <w:tcBorders>
              <w:bottom w:val="single" w:sz="8" w:color="F2F2F2"/>
            </w:tcBorders>
            <w:shd w:val="clear" w:color="auto" w:fill="F2F2F2"/>
          </w:tcPr>
          <w:p>
            <w:pPr>
              <w:ind w:left="12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880" w:type="dxa"/>
            <w:vAlign w:val="bottom"/>
            <w:tcBorders>
              <w:top w:val="single" w:sz="8" w:color="BFBFBF"/>
            </w:tcBorders>
          </w:tcPr>
          <w:p>
            <w:pPr>
              <w:ind w:left="180"/>
              <w:spacing w:after="0"/>
              <w:rPr>
                <w:sz w:val="20"/>
                <w:szCs w:val="20"/>
                <w:color w:val="auto"/>
              </w:rPr>
            </w:pPr>
            <w:r>
              <w:rPr>
                <w:rFonts w:ascii="Arial" w:cs="Arial" w:eastAsia="Arial" w:hAnsi="Arial"/>
                <w:sz w:val="18"/>
                <w:szCs w:val="18"/>
                <w:b w:val="1"/>
                <w:bCs w:val="1"/>
                <w:color w:val="0033A0"/>
              </w:rPr>
              <w:t>Brian G. Lawlor</w:t>
            </w:r>
          </w:p>
        </w:tc>
        <w:tc>
          <w:tcPr>
            <w:tcW w:w="8340" w:type="dxa"/>
            <w:vAlign w:val="bottom"/>
            <w:tcBorders>
              <w:top w:val="single" w:sz="8" w:color="BFBFBF"/>
            </w:tcBorders>
          </w:tcPr>
          <w:p>
            <w:pPr>
              <w:ind w:left="1280"/>
              <w:spacing w:after="0"/>
              <w:rPr>
                <w:sz w:val="20"/>
                <w:szCs w:val="20"/>
                <w:color w:val="auto"/>
              </w:rPr>
            </w:pPr>
            <w:r>
              <w:rPr>
                <w:rFonts w:ascii="Arial" w:cs="Arial" w:eastAsia="Arial" w:hAnsi="Arial"/>
                <w:sz w:val="18"/>
                <w:szCs w:val="18"/>
                <w:color w:val="auto"/>
              </w:rPr>
              <w:t>President, Local Media</w:t>
            </w:r>
          </w:p>
        </w:tc>
      </w:tr>
      <w:tr>
        <w:trPr>
          <w:trHeight w:val="27"/>
        </w:trPr>
        <w:tc>
          <w:tcPr>
            <w:tcW w:w="2880" w:type="dxa"/>
            <w:vAlign w:val="bottom"/>
            <w:tcBorders>
              <w:bottom w:val="single" w:sz="8" w:color="BFBFBF"/>
            </w:tcBorders>
          </w:tcPr>
          <w:p>
            <w:pPr>
              <w:spacing w:after="0"/>
              <w:rPr>
                <w:sz w:val="2"/>
                <w:szCs w:val="2"/>
                <w:color w:val="auto"/>
              </w:rPr>
            </w:pPr>
          </w:p>
        </w:tc>
        <w:tc>
          <w:tcPr>
            <w:tcW w:w="8340" w:type="dxa"/>
            <w:vAlign w:val="bottom"/>
            <w:tcBorders>
              <w:bottom w:val="single" w:sz="8" w:color="BFBFBF"/>
            </w:tcBorders>
          </w:tcPr>
          <w:p>
            <w:pPr>
              <w:spacing w:after="0"/>
              <w:rPr>
                <w:sz w:val="2"/>
                <w:szCs w:val="2"/>
                <w:color w:val="auto"/>
              </w:rPr>
            </w:pPr>
          </w:p>
        </w:tc>
      </w:tr>
      <w:tr>
        <w:trPr>
          <w:trHeight w:val="282"/>
        </w:trPr>
        <w:tc>
          <w:tcPr>
            <w:tcW w:w="288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8"/>
                <w:szCs w:val="18"/>
                <w:b w:val="1"/>
                <w:bCs w:val="1"/>
                <w:color w:val="0033A0"/>
              </w:rPr>
              <w:t>William Appleton</w:t>
            </w:r>
          </w:p>
        </w:tc>
        <w:tc>
          <w:tcPr>
            <w:tcW w:w="8340" w:type="dxa"/>
            <w:vAlign w:val="bottom"/>
            <w:tcBorders>
              <w:bottom w:val="single" w:sz="8" w:color="F2F2F2"/>
            </w:tcBorders>
            <w:shd w:val="clear" w:color="auto" w:fill="F2F2F2"/>
          </w:tcPr>
          <w:p>
            <w:pPr>
              <w:ind w:left="1280"/>
              <w:spacing w:after="0"/>
              <w:rPr>
                <w:sz w:val="20"/>
                <w:szCs w:val="20"/>
                <w:color w:val="auto"/>
              </w:rPr>
            </w:pPr>
            <w:r>
              <w:rPr>
                <w:rFonts w:ascii="Arial" w:cs="Arial" w:eastAsia="Arial" w:hAnsi="Arial"/>
                <w:sz w:val="18"/>
                <w:szCs w:val="18"/>
                <w:color w:val="auto"/>
              </w:rPr>
              <w:t>Executive Vice President and General Counsel</w:t>
            </w:r>
          </w:p>
        </w:tc>
      </w:tr>
      <w:tr>
        <w:trPr>
          <w:trHeight w:val="250"/>
        </w:trPr>
        <w:tc>
          <w:tcPr>
            <w:tcW w:w="2880" w:type="dxa"/>
            <w:vAlign w:val="bottom"/>
            <w:tcBorders>
              <w:top w:val="single" w:sz="8" w:color="BFBFBF"/>
            </w:tcBorders>
          </w:tcPr>
          <w:p>
            <w:pPr>
              <w:ind w:left="180"/>
              <w:spacing w:after="0"/>
              <w:rPr>
                <w:sz w:val="20"/>
                <w:szCs w:val="20"/>
                <w:color w:val="auto"/>
              </w:rPr>
            </w:pPr>
            <w:r>
              <w:rPr>
                <w:rFonts w:ascii="Arial" w:cs="Arial" w:eastAsia="Arial" w:hAnsi="Arial"/>
                <w:sz w:val="18"/>
                <w:szCs w:val="18"/>
                <w:b w:val="1"/>
                <w:bCs w:val="1"/>
                <w:color w:val="0033A0"/>
              </w:rPr>
              <w:t>Laura M. Tomlin*</w:t>
            </w:r>
          </w:p>
        </w:tc>
        <w:tc>
          <w:tcPr>
            <w:tcW w:w="8340" w:type="dxa"/>
            <w:vAlign w:val="bottom"/>
            <w:tcBorders>
              <w:top w:val="single" w:sz="8" w:color="BFBFBF"/>
            </w:tcBorders>
          </w:tcPr>
          <w:p>
            <w:pPr>
              <w:ind w:left="1280"/>
              <w:spacing w:after="0"/>
              <w:rPr>
                <w:sz w:val="20"/>
                <w:szCs w:val="20"/>
                <w:color w:val="auto"/>
              </w:rPr>
            </w:pPr>
            <w:r>
              <w:rPr>
                <w:rFonts w:ascii="Arial" w:cs="Arial" w:eastAsia="Arial" w:hAnsi="Arial"/>
                <w:sz w:val="18"/>
                <w:szCs w:val="18"/>
                <w:color w:val="auto"/>
              </w:rPr>
              <w:t>Executive Vice President, National Media</w:t>
            </w:r>
          </w:p>
        </w:tc>
      </w:tr>
    </w:tbl>
    <w:p>
      <w:pPr>
        <w:spacing w:after="0" w:line="26" w:lineRule="exact"/>
        <w:rPr>
          <w:sz w:val="20"/>
          <w:szCs w:val="20"/>
          <w:color w:val="auto"/>
        </w:rPr>
      </w:pPr>
    </w:p>
    <w:p>
      <w:pPr>
        <w:ind w:firstLine="8"/>
        <w:spacing w:after="0" w:line="342" w:lineRule="auto"/>
        <w:tabs>
          <w:tab w:leader="none" w:pos="1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Effective January 7, 2021, Lisa A. Knutson was appointed President, Scripps Networks and Jason Combs succeeded her in the role as Chief Financial Officer. Also, effective January 7, 2021, Laura M. Tomlin was appointed to serve as Executive Vice President and 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4D4D4D"/>
        </w:rPr>
        <w:t>CD&amp;A Table of Contents</w:t>
      </w:r>
    </w:p>
    <w:p>
      <w:pPr>
        <w:spacing w:after="0" w:line="134" w:lineRule="exact"/>
        <w:rPr>
          <w:sz w:val="20"/>
          <w:szCs w:val="20"/>
          <w:color w:val="auto"/>
        </w:rPr>
      </w:pPr>
    </w:p>
    <w:tbl>
      <w:tblPr>
        <w:tblLayout w:type="fixed"/>
        <w:tblInd w:w="1710" w:type="dxa"/>
        <w:tblCellMar>
          <w:top w:w="0" w:type="dxa"/>
          <w:left w:w="0" w:type="dxa"/>
          <w:bottom w:w="0" w:type="dxa"/>
          <w:right w:w="0" w:type="dxa"/>
        </w:tblCellMar>
      </w:tblPr>
      <w:tr>
        <w:trPr>
          <w:trHeight w:val="297"/>
        </w:trPr>
        <w:tc>
          <w:tcPr>
            <w:tcW w:w="6620" w:type="dxa"/>
            <w:vAlign w:val="bottom"/>
            <w:tcBorders>
              <w:top w:val="single" w:sz="8" w:color="BFBFBF"/>
              <w:left w:val="single" w:sz="8" w:color="BFBFBF"/>
              <w:bottom w:val="single" w:sz="8" w:color="BFBFBF"/>
            </w:tcBorders>
          </w:tcPr>
          <w:p>
            <w:pPr>
              <w:ind w:left="12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Executive Summary</w:t>
              </w:r>
            </w:hyperlink>
          </w:p>
        </w:tc>
        <w:tc>
          <w:tcPr>
            <w:tcW w:w="1260" w:type="dxa"/>
            <w:vAlign w:val="bottom"/>
            <w:tcBorders>
              <w:top w:val="single" w:sz="8" w:color="BFBFBF"/>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b w:val="1"/>
                <w:bCs w:val="1"/>
                <w:color w:val="0033A0"/>
              </w:rPr>
              <w:t>31</w:t>
            </w:r>
          </w:p>
        </w:tc>
      </w:tr>
      <w:tr>
        <w:trPr>
          <w:trHeight w:val="250"/>
        </w:trPr>
        <w:tc>
          <w:tcPr>
            <w:tcW w:w="6620" w:type="dxa"/>
            <w:vAlign w:val="bottom"/>
            <w:tcBorders>
              <w:left w:val="single" w:sz="8" w:color="BFBFBF"/>
            </w:tcBorders>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Objectives of our Compensation Program</w:t>
              </w:r>
            </w:hyperlink>
          </w:p>
        </w:tc>
        <w:tc>
          <w:tcPr>
            <w:tcW w:w="1260" w:type="dxa"/>
            <w:vAlign w:val="bottom"/>
            <w:tcBorders>
              <w:right w:val="single" w:sz="8" w:color="BFBFBF"/>
            </w:tcBorders>
          </w:tcPr>
          <w:p>
            <w:pPr>
              <w:jc w:val="right"/>
              <w:ind w:right="50"/>
              <w:spacing w:after="0"/>
              <w:rPr>
                <w:sz w:val="20"/>
                <w:szCs w:val="20"/>
                <w:color w:val="auto"/>
              </w:rPr>
            </w:pPr>
            <w:r>
              <w:rPr>
                <w:rFonts w:ascii="Arial" w:cs="Arial" w:eastAsia="Arial" w:hAnsi="Arial"/>
                <w:sz w:val="18"/>
                <w:szCs w:val="18"/>
                <w:color w:val="auto"/>
              </w:rPr>
              <w:t>31</w:t>
            </w:r>
          </w:p>
        </w:tc>
      </w:tr>
      <w:tr>
        <w:trPr>
          <w:trHeight w:val="27"/>
        </w:trPr>
        <w:tc>
          <w:tcPr>
            <w:tcW w:w="6620" w:type="dxa"/>
            <w:vAlign w:val="bottom"/>
            <w:tcBorders>
              <w:left w:val="single" w:sz="8" w:color="BFBFBF"/>
              <w:bottom w:val="single" w:sz="8" w:color="BFBFBF"/>
            </w:tcBorders>
          </w:tcPr>
          <w:p>
            <w:pPr>
              <w:spacing w:after="0"/>
              <w:rPr>
                <w:sz w:val="2"/>
                <w:szCs w:val="2"/>
                <w:color w:val="auto"/>
              </w:rPr>
            </w:pPr>
          </w:p>
        </w:tc>
        <w:tc>
          <w:tcPr>
            <w:tcW w:w="1260" w:type="dxa"/>
            <w:vAlign w:val="bottom"/>
            <w:tcBorders>
              <w:bottom w:val="single" w:sz="8" w:color="BFBFBF"/>
              <w:right w:val="single" w:sz="8" w:color="BFBFBF"/>
            </w:tcBorders>
          </w:tcPr>
          <w:p>
            <w:pPr>
              <w:spacing w:after="0"/>
              <w:rPr>
                <w:sz w:val="2"/>
                <w:szCs w:val="2"/>
                <w:color w:val="auto"/>
              </w:rPr>
            </w:pPr>
          </w:p>
        </w:tc>
      </w:tr>
      <w:tr>
        <w:trPr>
          <w:trHeight w:val="250"/>
        </w:trPr>
        <w:tc>
          <w:tcPr>
            <w:tcW w:w="6620" w:type="dxa"/>
            <w:vAlign w:val="bottom"/>
            <w:tcBorders>
              <w:left w:val="single" w:sz="8" w:color="BFBFBF"/>
            </w:tcBorders>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2020 Compensation Highlights</w:t>
              </w:r>
            </w:hyperlink>
          </w:p>
        </w:tc>
        <w:tc>
          <w:tcPr>
            <w:tcW w:w="1260" w:type="dxa"/>
            <w:vAlign w:val="bottom"/>
            <w:tcBorders>
              <w:right w:val="single" w:sz="8" w:color="BFBFBF"/>
            </w:tcBorders>
          </w:tcPr>
          <w:p>
            <w:pPr>
              <w:jc w:val="right"/>
              <w:ind w:right="50"/>
              <w:spacing w:after="0"/>
              <w:rPr>
                <w:sz w:val="20"/>
                <w:szCs w:val="20"/>
                <w:color w:val="auto"/>
              </w:rPr>
            </w:pPr>
            <w:r>
              <w:rPr>
                <w:rFonts w:ascii="Arial" w:cs="Arial" w:eastAsia="Arial" w:hAnsi="Arial"/>
                <w:sz w:val="18"/>
                <w:szCs w:val="18"/>
                <w:color w:val="auto"/>
              </w:rPr>
              <w:t>31</w:t>
            </w:r>
          </w:p>
        </w:tc>
      </w:tr>
      <w:tr>
        <w:trPr>
          <w:trHeight w:val="27"/>
        </w:trPr>
        <w:tc>
          <w:tcPr>
            <w:tcW w:w="6620" w:type="dxa"/>
            <w:vAlign w:val="bottom"/>
            <w:tcBorders>
              <w:left w:val="single" w:sz="8" w:color="BFBFBF"/>
              <w:bottom w:val="single" w:sz="8" w:color="BFBFBF"/>
            </w:tcBorders>
          </w:tcPr>
          <w:p>
            <w:pPr>
              <w:spacing w:after="0"/>
              <w:rPr>
                <w:sz w:val="2"/>
                <w:szCs w:val="2"/>
                <w:color w:val="auto"/>
              </w:rPr>
            </w:pPr>
          </w:p>
        </w:tc>
        <w:tc>
          <w:tcPr>
            <w:tcW w:w="1260" w:type="dxa"/>
            <w:vAlign w:val="bottom"/>
            <w:tcBorders>
              <w:bottom w:val="single" w:sz="8" w:color="BFBFBF"/>
              <w:right w:val="single" w:sz="8" w:color="BFBFBF"/>
            </w:tcBorders>
          </w:tcPr>
          <w:p>
            <w:pPr>
              <w:spacing w:after="0"/>
              <w:rPr>
                <w:sz w:val="2"/>
                <w:szCs w:val="2"/>
                <w:color w:val="auto"/>
              </w:rPr>
            </w:pPr>
          </w:p>
        </w:tc>
      </w:tr>
      <w:tr>
        <w:trPr>
          <w:trHeight w:val="250"/>
        </w:trPr>
        <w:tc>
          <w:tcPr>
            <w:tcW w:w="6620" w:type="dxa"/>
            <w:vAlign w:val="bottom"/>
            <w:tcBorders>
              <w:left w:val="single" w:sz="8" w:color="BFBFBF"/>
            </w:tcBorders>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Our Compensation Policies and Practices</w:t>
              </w:r>
            </w:hyperlink>
          </w:p>
        </w:tc>
        <w:tc>
          <w:tcPr>
            <w:tcW w:w="1260" w:type="dxa"/>
            <w:vAlign w:val="bottom"/>
            <w:tcBorders>
              <w:right w:val="single" w:sz="8" w:color="BFBFBF"/>
            </w:tcBorders>
          </w:tcPr>
          <w:p>
            <w:pPr>
              <w:jc w:val="right"/>
              <w:ind w:right="50"/>
              <w:spacing w:after="0"/>
              <w:rPr>
                <w:sz w:val="20"/>
                <w:szCs w:val="20"/>
                <w:color w:val="auto"/>
              </w:rPr>
            </w:pPr>
            <w:r>
              <w:rPr>
                <w:rFonts w:ascii="Arial" w:cs="Arial" w:eastAsia="Arial" w:hAnsi="Arial"/>
                <w:sz w:val="18"/>
                <w:szCs w:val="18"/>
                <w:color w:val="auto"/>
              </w:rPr>
              <w:t>33</w:t>
            </w:r>
          </w:p>
        </w:tc>
      </w:tr>
      <w:tr>
        <w:trPr>
          <w:trHeight w:val="27"/>
        </w:trPr>
        <w:tc>
          <w:tcPr>
            <w:tcW w:w="6620" w:type="dxa"/>
            <w:vAlign w:val="bottom"/>
            <w:tcBorders>
              <w:left w:val="single" w:sz="8" w:color="BFBFBF"/>
              <w:bottom w:val="single" w:sz="8" w:color="BFBFBF"/>
            </w:tcBorders>
          </w:tcPr>
          <w:p>
            <w:pPr>
              <w:spacing w:after="0"/>
              <w:rPr>
                <w:sz w:val="2"/>
                <w:szCs w:val="2"/>
                <w:color w:val="auto"/>
              </w:rPr>
            </w:pPr>
          </w:p>
        </w:tc>
        <w:tc>
          <w:tcPr>
            <w:tcW w:w="1260" w:type="dxa"/>
            <w:vAlign w:val="bottom"/>
            <w:tcBorders>
              <w:bottom w:val="single" w:sz="8" w:color="BFBFBF"/>
              <w:right w:val="single" w:sz="8" w:color="BFBFBF"/>
            </w:tcBorders>
          </w:tcPr>
          <w:p>
            <w:pPr>
              <w:spacing w:after="0"/>
              <w:rPr>
                <w:sz w:val="2"/>
                <w:szCs w:val="2"/>
                <w:color w:val="auto"/>
              </w:rPr>
            </w:pPr>
          </w:p>
        </w:tc>
      </w:tr>
      <w:tr>
        <w:trPr>
          <w:trHeight w:val="277"/>
        </w:trPr>
        <w:tc>
          <w:tcPr>
            <w:tcW w:w="6620" w:type="dxa"/>
            <w:vAlign w:val="bottom"/>
            <w:tcBorders>
              <w:left w:val="single" w:sz="8" w:color="BFBFBF"/>
              <w:bottom w:val="single" w:sz="8" w:color="BFBFBF"/>
            </w:tcBorders>
          </w:tcPr>
          <w:p>
            <w:pPr>
              <w:ind w:left="1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Core Compensation Elements</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b w:val="1"/>
                <w:bCs w:val="1"/>
                <w:color w:val="0033A0"/>
              </w:rPr>
              <w:t>34</w:t>
            </w:r>
          </w:p>
        </w:tc>
      </w:tr>
      <w:tr>
        <w:trPr>
          <w:trHeight w:val="250"/>
        </w:trPr>
        <w:tc>
          <w:tcPr>
            <w:tcW w:w="6620" w:type="dxa"/>
            <w:vAlign w:val="bottom"/>
            <w:tcBorders>
              <w:left w:val="single" w:sz="8" w:color="BFBFBF"/>
            </w:tcBorders>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Base Salary</w:t>
              </w:r>
            </w:hyperlink>
          </w:p>
        </w:tc>
        <w:tc>
          <w:tcPr>
            <w:tcW w:w="1260" w:type="dxa"/>
            <w:vAlign w:val="bottom"/>
            <w:tcBorders>
              <w:right w:val="single" w:sz="8" w:color="BFBFBF"/>
            </w:tcBorders>
          </w:tcPr>
          <w:p>
            <w:pPr>
              <w:jc w:val="right"/>
              <w:ind w:right="50"/>
              <w:spacing w:after="0"/>
              <w:rPr>
                <w:sz w:val="20"/>
                <w:szCs w:val="20"/>
                <w:color w:val="auto"/>
              </w:rPr>
            </w:pPr>
            <w:r>
              <w:rPr>
                <w:rFonts w:ascii="Arial" w:cs="Arial" w:eastAsia="Arial" w:hAnsi="Arial"/>
                <w:sz w:val="18"/>
                <w:szCs w:val="18"/>
                <w:color w:val="auto"/>
              </w:rPr>
              <w:t>34</w:t>
            </w:r>
          </w:p>
        </w:tc>
      </w:tr>
      <w:tr>
        <w:trPr>
          <w:trHeight w:val="27"/>
        </w:trPr>
        <w:tc>
          <w:tcPr>
            <w:tcW w:w="6620" w:type="dxa"/>
            <w:vAlign w:val="bottom"/>
            <w:tcBorders>
              <w:left w:val="single" w:sz="8" w:color="BFBFBF"/>
              <w:bottom w:val="single" w:sz="8" w:color="BFBFBF"/>
            </w:tcBorders>
          </w:tcPr>
          <w:p>
            <w:pPr>
              <w:spacing w:after="0"/>
              <w:rPr>
                <w:sz w:val="2"/>
                <w:szCs w:val="2"/>
                <w:color w:val="auto"/>
              </w:rPr>
            </w:pPr>
          </w:p>
        </w:tc>
        <w:tc>
          <w:tcPr>
            <w:tcW w:w="1260" w:type="dxa"/>
            <w:vAlign w:val="bottom"/>
            <w:tcBorders>
              <w:bottom w:val="single" w:sz="8" w:color="BFBFBF"/>
              <w:right w:val="single" w:sz="8" w:color="BFBFBF"/>
            </w:tcBorders>
          </w:tcPr>
          <w:p>
            <w:pPr>
              <w:spacing w:after="0"/>
              <w:rPr>
                <w:sz w:val="2"/>
                <w:szCs w:val="2"/>
                <w:color w:val="auto"/>
              </w:rPr>
            </w:pPr>
          </w:p>
        </w:tc>
      </w:tr>
      <w:tr>
        <w:trPr>
          <w:trHeight w:val="250"/>
        </w:trPr>
        <w:tc>
          <w:tcPr>
            <w:tcW w:w="6620" w:type="dxa"/>
            <w:vAlign w:val="bottom"/>
            <w:tcBorders>
              <w:left w:val="single" w:sz="8" w:color="BFBFBF"/>
            </w:tcBorders>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Short-Term Incentive</w:t>
              </w:r>
            </w:hyperlink>
          </w:p>
        </w:tc>
        <w:tc>
          <w:tcPr>
            <w:tcW w:w="1260" w:type="dxa"/>
            <w:vAlign w:val="bottom"/>
            <w:tcBorders>
              <w:right w:val="single" w:sz="8" w:color="BFBFBF"/>
            </w:tcBorders>
          </w:tcPr>
          <w:p>
            <w:pPr>
              <w:jc w:val="right"/>
              <w:ind w:right="50"/>
              <w:spacing w:after="0"/>
              <w:rPr>
                <w:sz w:val="20"/>
                <w:szCs w:val="20"/>
                <w:color w:val="auto"/>
              </w:rPr>
            </w:pPr>
            <w:r>
              <w:rPr>
                <w:rFonts w:ascii="Arial" w:cs="Arial" w:eastAsia="Arial" w:hAnsi="Arial"/>
                <w:sz w:val="18"/>
                <w:szCs w:val="18"/>
                <w:color w:val="auto"/>
              </w:rPr>
              <w:t>34</w:t>
            </w:r>
          </w:p>
        </w:tc>
      </w:tr>
      <w:tr>
        <w:trPr>
          <w:trHeight w:val="27"/>
        </w:trPr>
        <w:tc>
          <w:tcPr>
            <w:tcW w:w="6620" w:type="dxa"/>
            <w:vAlign w:val="bottom"/>
            <w:tcBorders>
              <w:left w:val="single" w:sz="8" w:color="BFBFBF"/>
              <w:bottom w:val="single" w:sz="8" w:color="BFBFBF"/>
            </w:tcBorders>
          </w:tcPr>
          <w:p>
            <w:pPr>
              <w:spacing w:after="0"/>
              <w:rPr>
                <w:sz w:val="2"/>
                <w:szCs w:val="2"/>
                <w:color w:val="auto"/>
              </w:rPr>
            </w:pPr>
          </w:p>
        </w:tc>
        <w:tc>
          <w:tcPr>
            <w:tcW w:w="1260" w:type="dxa"/>
            <w:vAlign w:val="bottom"/>
            <w:tcBorders>
              <w:bottom w:val="single" w:sz="8" w:color="BFBFBF"/>
              <w:right w:val="single" w:sz="8" w:color="BFBFBF"/>
            </w:tcBorders>
          </w:tcPr>
          <w:p>
            <w:pPr>
              <w:spacing w:after="0"/>
              <w:rPr>
                <w:sz w:val="2"/>
                <w:szCs w:val="2"/>
                <w:color w:val="auto"/>
              </w:rPr>
            </w:pPr>
          </w:p>
        </w:tc>
      </w:tr>
      <w:tr>
        <w:trPr>
          <w:trHeight w:val="250"/>
        </w:trPr>
        <w:tc>
          <w:tcPr>
            <w:tcW w:w="6620" w:type="dxa"/>
            <w:vAlign w:val="bottom"/>
            <w:tcBorders>
              <w:left w:val="single" w:sz="8" w:color="BFBFBF"/>
            </w:tcBorders>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Long-Term Incentive</w:t>
              </w:r>
            </w:hyperlink>
          </w:p>
        </w:tc>
        <w:tc>
          <w:tcPr>
            <w:tcW w:w="1260" w:type="dxa"/>
            <w:vAlign w:val="bottom"/>
            <w:tcBorders>
              <w:right w:val="single" w:sz="8" w:color="BFBFBF"/>
            </w:tcBorders>
          </w:tcPr>
          <w:p>
            <w:pPr>
              <w:jc w:val="right"/>
              <w:ind w:right="50"/>
              <w:spacing w:after="0"/>
              <w:rPr>
                <w:sz w:val="20"/>
                <w:szCs w:val="20"/>
                <w:color w:val="auto"/>
              </w:rPr>
            </w:pPr>
            <w:r>
              <w:rPr>
                <w:rFonts w:ascii="Arial" w:cs="Arial" w:eastAsia="Arial" w:hAnsi="Arial"/>
                <w:sz w:val="18"/>
                <w:szCs w:val="18"/>
                <w:color w:val="auto"/>
              </w:rPr>
              <w:t>37</w:t>
            </w:r>
          </w:p>
        </w:tc>
      </w:tr>
      <w:tr>
        <w:trPr>
          <w:trHeight w:val="27"/>
        </w:trPr>
        <w:tc>
          <w:tcPr>
            <w:tcW w:w="6620" w:type="dxa"/>
            <w:vAlign w:val="bottom"/>
            <w:tcBorders>
              <w:left w:val="single" w:sz="8" w:color="BFBFBF"/>
              <w:bottom w:val="single" w:sz="8" w:color="BFBFBF"/>
            </w:tcBorders>
          </w:tcPr>
          <w:p>
            <w:pPr>
              <w:spacing w:after="0"/>
              <w:rPr>
                <w:sz w:val="2"/>
                <w:szCs w:val="2"/>
                <w:color w:val="auto"/>
              </w:rPr>
            </w:pPr>
          </w:p>
        </w:tc>
        <w:tc>
          <w:tcPr>
            <w:tcW w:w="1260" w:type="dxa"/>
            <w:vAlign w:val="bottom"/>
            <w:tcBorders>
              <w:bottom w:val="single" w:sz="8" w:color="BFBFBF"/>
              <w:right w:val="single" w:sz="8" w:color="BFBFBF"/>
            </w:tcBorders>
          </w:tcPr>
          <w:p>
            <w:pPr>
              <w:spacing w:after="0"/>
              <w:rPr>
                <w:sz w:val="2"/>
                <w:szCs w:val="2"/>
                <w:color w:val="auto"/>
              </w:rPr>
            </w:pPr>
          </w:p>
        </w:tc>
      </w:tr>
      <w:tr>
        <w:trPr>
          <w:trHeight w:val="277"/>
        </w:trPr>
        <w:tc>
          <w:tcPr>
            <w:tcW w:w="6620" w:type="dxa"/>
            <w:vAlign w:val="bottom"/>
            <w:tcBorders>
              <w:left w:val="single" w:sz="8" w:color="BFBFBF"/>
              <w:bottom w:val="single" w:sz="8" w:color="BFBFBF"/>
            </w:tcBorders>
          </w:tcPr>
          <w:p>
            <w:pPr>
              <w:ind w:left="12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Additional Compensation Policies and Practices</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b w:val="1"/>
                <w:bCs w:val="1"/>
                <w:color w:val="0033A0"/>
              </w:rPr>
              <w:t>39</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Incentive Compensation Recoupment Policy</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Stock Ownership Requirements</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Post-Employment Benefits</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Health, Welfare and Other Personal Benefits</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Employment Agreements, Executive Severance and Change in Control Plan</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40</w:t>
            </w:r>
          </w:p>
        </w:tc>
      </w:tr>
      <w:tr>
        <w:trPr>
          <w:trHeight w:val="277"/>
        </w:trPr>
        <w:tc>
          <w:tcPr>
            <w:tcW w:w="6620" w:type="dxa"/>
            <w:vAlign w:val="bottom"/>
            <w:tcBorders>
              <w:left w:val="single" w:sz="8" w:color="BFBFBF"/>
              <w:bottom w:val="single" w:sz="8" w:color="BFBFBF"/>
            </w:tcBorders>
          </w:tcPr>
          <w:p>
            <w:pPr>
              <w:ind w:left="12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Compensation Consultant and Peer Group</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b w:val="1"/>
                <w:bCs w:val="1"/>
                <w:color w:val="0033A0"/>
              </w:rPr>
              <w:t>41</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Independent Compensation Consultant</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41</w:t>
            </w:r>
          </w:p>
        </w:tc>
      </w:tr>
      <w:tr>
        <w:trPr>
          <w:trHeight w:val="277"/>
        </w:trPr>
        <w:tc>
          <w:tcPr>
            <w:tcW w:w="6620" w:type="dxa"/>
            <w:vAlign w:val="bottom"/>
            <w:tcBorders>
              <w:left w:val="single" w:sz="8" w:color="BFBFBF"/>
              <w:bottom w:val="single" w:sz="8" w:color="BFBFBF"/>
            </w:tcBorders>
          </w:tcPr>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Compensation Peer Group</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color w:val="auto"/>
              </w:rPr>
              <w:t>41</w:t>
            </w:r>
          </w:p>
        </w:tc>
      </w:tr>
      <w:tr>
        <w:trPr>
          <w:trHeight w:val="277"/>
        </w:trPr>
        <w:tc>
          <w:tcPr>
            <w:tcW w:w="6620" w:type="dxa"/>
            <w:vAlign w:val="bottom"/>
            <w:tcBorders>
              <w:left w:val="single" w:sz="8" w:color="BFBFBF"/>
              <w:bottom w:val="single" w:sz="8" w:color="BFBFBF"/>
            </w:tcBorders>
          </w:tcPr>
          <w:p>
            <w:pPr>
              <w:ind w:left="12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Tax Implications</w:t>
              </w:r>
            </w:hyperlink>
          </w:p>
        </w:tc>
        <w:tc>
          <w:tcPr>
            <w:tcW w:w="1260" w:type="dxa"/>
            <w:vAlign w:val="bottom"/>
            <w:tcBorders>
              <w:bottom w:val="single" w:sz="8" w:color="BFBFBF"/>
              <w:right w:val="single" w:sz="8" w:color="BFBFBF"/>
            </w:tcBorders>
          </w:tcPr>
          <w:p>
            <w:pPr>
              <w:jc w:val="right"/>
              <w:ind w:right="50"/>
              <w:spacing w:after="0"/>
              <w:rPr>
                <w:sz w:val="20"/>
                <w:szCs w:val="20"/>
                <w:color w:val="auto"/>
              </w:rPr>
            </w:pPr>
            <w:r>
              <w:rPr>
                <w:rFonts w:ascii="Arial" w:cs="Arial" w:eastAsia="Arial" w:hAnsi="Arial"/>
                <w:sz w:val="18"/>
                <w:szCs w:val="18"/>
                <w:b w:val="1"/>
                <w:bCs w:val="1"/>
                <w:color w:val="0033A0"/>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30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4D4D4D"/>
        </w:rPr>
        <w:t>Executive Summary</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Objectives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165100</wp:posOffset>
            </wp:positionV>
            <wp:extent cx="5795010" cy="2091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2020 Compensation Highlights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a highly competitive and rapidly changing industry and we continue to evolve our businesses to meet the ever-changing needs of the media consumer and advertiser.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meaningful portion of our named executive officers’ total direct compensation (“TDC”) consists of short-term incentives (“STI”) and long-term incentives (“LTI”). Our STI opportunities are provided under an annual incentive program, the payout of which is dependent on corporate and/or divisional performance. In 2020, our LTI opportunities were provided through time-based and performance-based Restricted Share Units (“RSUs”) that vest over four years.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Committee made the following changes to the compensation of our named executive officers during the annual adjustment process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31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312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Adam P. Symson</w:t>
            </w:r>
          </w:p>
        </w:tc>
        <w:tc>
          <w:tcPr>
            <w:tcW w:w="9500" w:type="dxa"/>
            <w:vAlign w:val="bottom"/>
          </w:tcPr>
          <w:p>
            <w:pPr>
              <w:ind w:left="500"/>
              <w:spacing w:after="0"/>
              <w:rPr>
                <w:sz w:val="20"/>
                <w:szCs w:val="20"/>
                <w:color w:val="auto"/>
              </w:rPr>
            </w:pPr>
            <w:r>
              <w:rPr>
                <w:rFonts w:ascii="Arial" w:cs="Arial" w:eastAsia="Arial" w:hAnsi="Arial"/>
                <w:sz w:val="18"/>
                <w:szCs w:val="18"/>
                <w:color w:val="auto"/>
              </w:rPr>
              <w:t>•   Voluntarily waived 2020 merit increase and accepted an</w:t>
            </w:r>
          </w:p>
        </w:tc>
      </w:tr>
      <w:tr>
        <w:trPr>
          <w:trHeight w:val="230"/>
        </w:trPr>
        <w:tc>
          <w:tcPr>
            <w:tcW w:w="1740" w:type="dxa"/>
            <w:vAlign w:val="bottom"/>
          </w:tcPr>
          <w:p>
            <w:pPr>
              <w:spacing w:after="0"/>
              <w:rPr>
                <w:sz w:val="20"/>
                <w:szCs w:val="20"/>
                <w:color w:val="auto"/>
              </w:rPr>
            </w:pPr>
          </w:p>
        </w:tc>
        <w:tc>
          <w:tcPr>
            <w:tcW w:w="9500" w:type="dxa"/>
            <w:vAlign w:val="bottom"/>
          </w:tcPr>
          <w:p>
            <w:pPr>
              <w:ind w:left="820"/>
              <w:spacing w:after="0"/>
              <w:rPr>
                <w:sz w:val="20"/>
                <w:szCs w:val="20"/>
                <w:color w:val="auto"/>
              </w:rPr>
            </w:pPr>
            <w:r>
              <w:rPr>
                <w:rFonts w:ascii="Arial" w:cs="Arial" w:eastAsia="Arial" w:hAnsi="Arial"/>
                <w:sz w:val="18"/>
                <w:szCs w:val="18"/>
                <w:color w:val="auto"/>
              </w:rPr>
              <w:t>additional 15% base salary cut</w:t>
            </w:r>
          </w:p>
        </w:tc>
      </w:tr>
      <w:tr>
        <w:trPr>
          <w:trHeight w:val="459"/>
        </w:trPr>
        <w:tc>
          <w:tcPr>
            <w:tcW w:w="1740" w:type="dxa"/>
            <w:vAlign w:val="bottom"/>
          </w:tcPr>
          <w:p>
            <w:pPr>
              <w:spacing w:after="0"/>
              <w:rPr>
                <w:sz w:val="24"/>
                <w:szCs w:val="24"/>
                <w:color w:val="auto"/>
              </w:rPr>
            </w:pPr>
          </w:p>
        </w:tc>
        <w:tc>
          <w:tcPr>
            <w:tcW w:w="9500" w:type="dxa"/>
            <w:vAlign w:val="bottom"/>
          </w:tcPr>
          <w:p>
            <w:pPr>
              <w:ind w:left="500"/>
              <w:spacing w:after="0"/>
              <w:rPr>
                <w:sz w:val="20"/>
                <w:szCs w:val="20"/>
                <w:color w:val="auto"/>
              </w:rPr>
            </w:pPr>
            <w:r>
              <w:rPr>
                <w:rFonts w:ascii="Arial" w:cs="Arial" w:eastAsia="Arial" w:hAnsi="Arial"/>
                <w:sz w:val="18"/>
                <w:szCs w:val="18"/>
                <w:color w:val="auto"/>
              </w:rPr>
              <w:t>•   Increased STI target to 100%</w:t>
            </w:r>
          </w:p>
        </w:tc>
      </w:tr>
      <w:tr>
        <w:trPr>
          <w:trHeight w:val="459"/>
        </w:trPr>
        <w:tc>
          <w:tcPr>
            <w:tcW w:w="1740" w:type="dxa"/>
            <w:vAlign w:val="bottom"/>
          </w:tcPr>
          <w:p>
            <w:pPr>
              <w:spacing w:after="0"/>
              <w:rPr>
                <w:sz w:val="24"/>
                <w:szCs w:val="24"/>
                <w:color w:val="auto"/>
              </w:rPr>
            </w:pPr>
          </w:p>
        </w:tc>
        <w:tc>
          <w:tcPr>
            <w:tcW w:w="9500" w:type="dxa"/>
            <w:vAlign w:val="bottom"/>
          </w:tcPr>
          <w:p>
            <w:pPr>
              <w:ind w:left="500"/>
              <w:spacing w:after="0"/>
              <w:rPr>
                <w:sz w:val="20"/>
                <w:szCs w:val="20"/>
                <w:color w:val="auto"/>
              </w:rPr>
            </w:pPr>
            <w:r>
              <w:rPr>
                <w:rFonts w:ascii="Arial" w:cs="Arial" w:eastAsia="Arial" w:hAnsi="Arial"/>
                <w:sz w:val="18"/>
                <w:szCs w:val="18"/>
                <w:color w:val="auto"/>
              </w:rPr>
              <w:t>•   Increased LTI target by $700,000</w:t>
            </w:r>
          </w:p>
        </w:tc>
      </w:tr>
      <w:tr>
        <w:trPr>
          <w:trHeight w:val="445"/>
        </w:trPr>
        <w:tc>
          <w:tcPr>
            <w:tcW w:w="1740" w:type="dxa"/>
            <w:vAlign w:val="bottom"/>
          </w:tcPr>
          <w:p>
            <w:pPr>
              <w:spacing w:after="0"/>
              <w:rPr>
                <w:sz w:val="24"/>
                <w:szCs w:val="24"/>
                <w:color w:val="auto"/>
              </w:rPr>
            </w:pPr>
          </w:p>
        </w:tc>
        <w:tc>
          <w:tcPr>
            <w:tcW w:w="9500" w:type="dxa"/>
            <w:vAlign w:val="bottom"/>
          </w:tcPr>
          <w:p>
            <w:pPr>
              <w:ind w:left="500"/>
              <w:spacing w:after="0"/>
              <w:rPr>
                <w:sz w:val="20"/>
                <w:szCs w:val="20"/>
                <w:color w:val="auto"/>
              </w:rPr>
            </w:pPr>
            <w:r>
              <w:rPr>
                <w:rFonts w:ascii="Arial" w:cs="Arial" w:eastAsia="Arial" w:hAnsi="Arial"/>
                <w:sz w:val="18"/>
                <w:szCs w:val="18"/>
                <w:color w:val="auto"/>
              </w:rPr>
              <w:t>•   Increased total direct compensation by 22.2%, inclusive of</w:t>
            </w:r>
          </w:p>
        </w:tc>
      </w:tr>
      <w:tr>
        <w:trPr>
          <w:trHeight w:val="230"/>
        </w:trPr>
        <w:tc>
          <w:tcPr>
            <w:tcW w:w="1740" w:type="dxa"/>
            <w:vAlign w:val="bottom"/>
          </w:tcPr>
          <w:p>
            <w:pPr>
              <w:spacing w:after="0"/>
              <w:rPr>
                <w:sz w:val="20"/>
                <w:szCs w:val="20"/>
                <w:color w:val="auto"/>
              </w:rPr>
            </w:pPr>
          </w:p>
        </w:tc>
        <w:tc>
          <w:tcPr>
            <w:tcW w:w="9500" w:type="dxa"/>
            <w:vAlign w:val="bottom"/>
          </w:tcPr>
          <w:p>
            <w:pPr>
              <w:ind w:left="820"/>
              <w:spacing w:after="0"/>
              <w:rPr>
                <w:sz w:val="20"/>
                <w:szCs w:val="20"/>
                <w:color w:val="auto"/>
              </w:rPr>
            </w:pPr>
            <w:r>
              <w:rPr>
                <w:rFonts w:ascii="Arial" w:cs="Arial" w:eastAsia="Arial" w:hAnsi="Arial"/>
                <w:sz w:val="18"/>
                <w:szCs w:val="18"/>
                <w:color w:val="auto"/>
              </w:rPr>
              <w:t>voluntary base salary cut</w:t>
            </w:r>
          </w:p>
        </w:tc>
      </w:tr>
      <w:tr>
        <w:trPr>
          <w:trHeight w:val="297"/>
        </w:trPr>
        <w:tc>
          <w:tcPr>
            <w:tcW w:w="17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r>
      <w:tr>
        <w:trPr>
          <w:trHeight w:val="331"/>
        </w:trPr>
        <w:tc>
          <w:tcPr>
            <w:tcW w:w="1740" w:type="dxa"/>
            <w:vAlign w:val="bottom"/>
            <w:tcBorders>
              <w:bottom w:val="single" w:sz="8" w:color="0033A0"/>
            </w:tcBorders>
          </w:tcPr>
          <w:p>
            <w:pPr>
              <w:spacing w:after="0"/>
              <w:rPr>
                <w:sz w:val="24"/>
                <w:szCs w:val="24"/>
                <w:color w:val="auto"/>
              </w:rPr>
            </w:pPr>
          </w:p>
        </w:tc>
        <w:tc>
          <w:tcPr>
            <w:tcW w:w="9500" w:type="dxa"/>
            <w:vAlign w:val="bottom"/>
            <w:tcBorders>
              <w:bottom w:val="single" w:sz="8" w:color="0033A0"/>
            </w:tcBorders>
          </w:tcPr>
          <w:p>
            <w:pPr>
              <w:spacing w:after="0"/>
              <w:rPr>
                <w:sz w:val="24"/>
                <w:szCs w:val="24"/>
                <w:color w:val="auto"/>
              </w:rPr>
            </w:pPr>
          </w:p>
        </w:tc>
      </w:tr>
    </w:tbl>
    <w:p>
      <w:pPr>
        <w:spacing w:after="0" w:line="3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31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Lisa A. Knutson</w:t>
            </w: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8820" w:type="dxa"/>
            <w:vAlign w:val="bottom"/>
          </w:tcPr>
          <w:p>
            <w:pPr>
              <w:ind w:left="120"/>
              <w:spacing w:after="0"/>
              <w:rPr>
                <w:sz w:val="20"/>
                <w:szCs w:val="20"/>
                <w:color w:val="auto"/>
              </w:rPr>
            </w:pPr>
            <w:r>
              <w:rPr>
                <w:rFonts w:ascii="Arial" w:cs="Arial" w:eastAsia="Arial" w:hAnsi="Arial"/>
                <w:sz w:val="18"/>
                <w:szCs w:val="18"/>
                <w:color w:val="auto"/>
              </w:rPr>
              <w:t>Voluntarily waived 2020 merit increase and accepted an</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additional 10% base salary cut</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Maintained STI target at 2019 level</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Decreased LTI target by $85,000</w:t>
            </w:r>
          </w:p>
        </w:tc>
        <w:tc>
          <w:tcPr>
            <w:tcW w:w="0" w:type="dxa"/>
            <w:vAlign w:val="bottom"/>
          </w:tcPr>
          <w:p>
            <w:pPr>
              <w:spacing w:after="0"/>
              <w:rPr>
                <w:sz w:val="1"/>
                <w:szCs w:val="1"/>
                <w:color w:val="auto"/>
              </w:rPr>
            </w:pPr>
          </w:p>
        </w:tc>
      </w:tr>
      <w:tr>
        <w:trPr>
          <w:trHeight w:val="445"/>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Increased total direct compensation by 0.7%, inclusive of</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voluntary base salary cut</w:t>
            </w:r>
          </w:p>
        </w:tc>
        <w:tc>
          <w:tcPr>
            <w:tcW w:w="0" w:type="dxa"/>
            <w:vAlign w:val="bottom"/>
          </w:tcPr>
          <w:p>
            <w:pPr>
              <w:spacing w:after="0"/>
              <w:rPr>
                <w:sz w:val="1"/>
                <w:szCs w:val="1"/>
                <w:color w:val="auto"/>
              </w:rPr>
            </w:pPr>
          </w:p>
        </w:tc>
      </w:tr>
      <w:tr>
        <w:trPr>
          <w:trHeight w:val="297"/>
        </w:trPr>
        <w:tc>
          <w:tcPr>
            <w:tcW w:w="1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60" w:type="dxa"/>
            <w:vAlign w:val="bottom"/>
          </w:tcPr>
          <w:p>
            <w:pPr>
              <w:spacing w:after="0"/>
              <w:rPr>
                <w:sz w:val="20"/>
                <w:szCs w:val="20"/>
                <w:color w:val="auto"/>
              </w:rPr>
            </w:pPr>
            <w:r>
              <w:rPr>
                <w:rFonts w:ascii="Arial" w:cs="Arial" w:eastAsia="Arial" w:hAnsi="Arial"/>
                <w:sz w:val="18"/>
                <w:szCs w:val="18"/>
                <w:color w:val="auto"/>
              </w:rPr>
              <w:t>Brian G. Lawlor</w:t>
            </w: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8820" w:type="dxa"/>
            <w:vAlign w:val="bottom"/>
          </w:tcPr>
          <w:p>
            <w:pPr>
              <w:jc w:val="right"/>
              <w:ind w:right="3950"/>
              <w:spacing w:after="0"/>
              <w:rPr>
                <w:sz w:val="20"/>
                <w:szCs w:val="20"/>
                <w:color w:val="auto"/>
              </w:rPr>
            </w:pPr>
            <w:r>
              <w:rPr>
                <w:rFonts w:ascii="Arial" w:cs="Arial" w:eastAsia="Arial" w:hAnsi="Arial"/>
                <w:sz w:val="18"/>
                <w:szCs w:val="18"/>
                <w:color w:val="auto"/>
              </w:rPr>
              <w:t>Voluntarily waived 2020 merit increase and accepted an</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additional 10% base salary cut</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Maintained STI target at 2019 level</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Decreased LTI target by $100,000</w:t>
            </w:r>
          </w:p>
        </w:tc>
        <w:tc>
          <w:tcPr>
            <w:tcW w:w="0" w:type="dxa"/>
            <w:vAlign w:val="bottom"/>
          </w:tcPr>
          <w:p>
            <w:pPr>
              <w:spacing w:after="0"/>
              <w:rPr>
                <w:sz w:val="1"/>
                <w:szCs w:val="1"/>
                <w:color w:val="auto"/>
              </w:rPr>
            </w:pPr>
          </w:p>
        </w:tc>
      </w:tr>
      <w:tr>
        <w:trPr>
          <w:trHeight w:val="445"/>
        </w:trPr>
        <w:tc>
          <w:tcPr>
            <w:tcW w:w="176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8820" w:type="dxa"/>
            <w:vAlign w:val="bottom"/>
          </w:tcPr>
          <w:p>
            <w:pPr>
              <w:jc w:val="right"/>
              <w:ind w:right="3950"/>
              <w:spacing w:after="0"/>
              <w:rPr>
                <w:sz w:val="20"/>
                <w:szCs w:val="20"/>
                <w:color w:val="auto"/>
              </w:rPr>
            </w:pPr>
            <w:r>
              <w:rPr>
                <w:rFonts w:ascii="Arial" w:cs="Arial" w:eastAsia="Arial" w:hAnsi="Arial"/>
                <w:sz w:val="18"/>
                <w:szCs w:val="18"/>
                <w:color w:val="auto"/>
              </w:rPr>
              <w:t>Decreased total direct compensation by 1.9%, inclusive of</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voluntary base salary cut</w:t>
            </w:r>
          </w:p>
        </w:tc>
        <w:tc>
          <w:tcPr>
            <w:tcW w:w="0" w:type="dxa"/>
            <w:vAlign w:val="bottom"/>
          </w:tcPr>
          <w:p>
            <w:pPr>
              <w:spacing w:after="0"/>
              <w:rPr>
                <w:sz w:val="1"/>
                <w:szCs w:val="1"/>
                <w:color w:val="auto"/>
              </w:rPr>
            </w:pPr>
          </w:p>
        </w:tc>
      </w:tr>
      <w:tr>
        <w:trPr>
          <w:trHeight w:val="297"/>
        </w:trPr>
        <w:tc>
          <w:tcPr>
            <w:tcW w:w="1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60" w:type="dxa"/>
            <w:vAlign w:val="bottom"/>
          </w:tcPr>
          <w:p>
            <w:pPr>
              <w:spacing w:after="0"/>
              <w:rPr>
                <w:sz w:val="20"/>
                <w:szCs w:val="20"/>
                <w:color w:val="auto"/>
              </w:rPr>
            </w:pPr>
            <w:r>
              <w:rPr>
                <w:rFonts w:ascii="Arial" w:cs="Arial" w:eastAsia="Arial" w:hAnsi="Arial"/>
                <w:sz w:val="18"/>
                <w:szCs w:val="18"/>
                <w:color w:val="auto"/>
              </w:rPr>
              <w:t>William Appleton</w:t>
            </w: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8820" w:type="dxa"/>
            <w:vAlign w:val="bottom"/>
          </w:tcPr>
          <w:p>
            <w:pPr>
              <w:jc w:val="right"/>
              <w:ind w:right="3950"/>
              <w:spacing w:after="0"/>
              <w:rPr>
                <w:sz w:val="20"/>
                <w:szCs w:val="20"/>
                <w:color w:val="auto"/>
              </w:rPr>
            </w:pPr>
            <w:r>
              <w:rPr>
                <w:rFonts w:ascii="Arial" w:cs="Arial" w:eastAsia="Arial" w:hAnsi="Arial"/>
                <w:sz w:val="18"/>
                <w:szCs w:val="18"/>
                <w:color w:val="auto"/>
              </w:rPr>
              <w:t>Voluntarily waived 2020 merit increase and accepted an</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additional 10% base salary cut</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Maintained STI target at 2019 level</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Decreased LTI target by $100,000</w:t>
            </w:r>
          </w:p>
        </w:tc>
        <w:tc>
          <w:tcPr>
            <w:tcW w:w="0" w:type="dxa"/>
            <w:vAlign w:val="bottom"/>
          </w:tcPr>
          <w:p>
            <w:pPr>
              <w:spacing w:after="0"/>
              <w:rPr>
                <w:sz w:val="1"/>
                <w:szCs w:val="1"/>
                <w:color w:val="auto"/>
              </w:rPr>
            </w:pPr>
          </w:p>
        </w:tc>
      </w:tr>
      <w:tr>
        <w:trPr>
          <w:trHeight w:val="445"/>
        </w:trPr>
        <w:tc>
          <w:tcPr>
            <w:tcW w:w="176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8820" w:type="dxa"/>
            <w:vAlign w:val="bottom"/>
          </w:tcPr>
          <w:p>
            <w:pPr>
              <w:jc w:val="right"/>
              <w:ind w:right="3950"/>
              <w:spacing w:after="0"/>
              <w:rPr>
                <w:sz w:val="20"/>
                <w:szCs w:val="20"/>
                <w:color w:val="auto"/>
              </w:rPr>
            </w:pPr>
            <w:r>
              <w:rPr>
                <w:rFonts w:ascii="Arial" w:cs="Arial" w:eastAsia="Arial" w:hAnsi="Arial"/>
                <w:sz w:val="18"/>
                <w:szCs w:val="18"/>
                <w:color w:val="auto"/>
              </w:rPr>
              <w:t>Decreased total direct compensation by 1.9%, inclusive of</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voluntary base salary cut</w:t>
            </w:r>
          </w:p>
        </w:tc>
        <w:tc>
          <w:tcPr>
            <w:tcW w:w="0" w:type="dxa"/>
            <w:vAlign w:val="bottom"/>
          </w:tcPr>
          <w:p>
            <w:pPr>
              <w:spacing w:after="0"/>
              <w:rPr>
                <w:sz w:val="1"/>
                <w:szCs w:val="1"/>
                <w:color w:val="auto"/>
              </w:rPr>
            </w:pPr>
          </w:p>
        </w:tc>
      </w:tr>
      <w:tr>
        <w:trPr>
          <w:trHeight w:val="297"/>
        </w:trPr>
        <w:tc>
          <w:tcPr>
            <w:tcW w:w="176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60" w:type="dxa"/>
            <w:vAlign w:val="bottom"/>
            <w:vMerge w:val="restart"/>
          </w:tcPr>
          <w:p>
            <w:pPr>
              <w:spacing w:after="0"/>
              <w:rPr>
                <w:sz w:val="20"/>
                <w:szCs w:val="20"/>
                <w:color w:val="auto"/>
              </w:rPr>
            </w:pPr>
            <w:r>
              <w:rPr>
                <w:rFonts w:ascii="Arial" w:cs="Arial" w:eastAsia="Arial" w:hAnsi="Arial"/>
                <w:sz w:val="18"/>
                <w:szCs w:val="18"/>
                <w:color w:val="auto"/>
              </w:rPr>
              <w:t>Laura M. Tomlin</w:t>
            </w: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Did not receive a merit increase in 2020 (because she received a</w:t>
            </w:r>
          </w:p>
        </w:tc>
        <w:tc>
          <w:tcPr>
            <w:tcW w:w="0" w:type="dxa"/>
            <w:vAlign w:val="bottom"/>
          </w:tcPr>
          <w:p>
            <w:pPr>
              <w:spacing w:after="0"/>
              <w:rPr>
                <w:sz w:val="1"/>
                <w:szCs w:val="1"/>
                <w:color w:val="auto"/>
              </w:rPr>
            </w:pPr>
          </w:p>
        </w:tc>
      </w:tr>
      <w:tr>
        <w:trPr>
          <w:trHeight w:val="109"/>
        </w:trPr>
        <w:tc>
          <w:tcPr>
            <w:tcW w:w="17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820" w:type="dxa"/>
            <w:vAlign w:val="bottom"/>
            <w:vMerge w:val="restart"/>
          </w:tcPr>
          <w:p>
            <w:pPr>
              <w:ind w:left="140"/>
              <w:spacing w:after="0"/>
              <w:rPr>
                <w:sz w:val="20"/>
                <w:szCs w:val="20"/>
                <w:color w:val="auto"/>
              </w:rPr>
            </w:pPr>
            <w:r>
              <w:rPr>
                <w:rFonts w:ascii="Arial" w:cs="Arial" w:eastAsia="Arial" w:hAnsi="Arial"/>
                <w:sz w:val="18"/>
                <w:szCs w:val="18"/>
                <w:color w:val="auto"/>
              </w:rPr>
              <w:t>market adjustment upon her promotion in November 2019) and</w:t>
            </w: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voluntarily accepted a 10% base salary cut</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Maintained STI target at 2019 level</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9480" w:type="dxa"/>
            <w:vAlign w:val="bottom"/>
            <w:gridSpan w:val="2"/>
          </w:tcPr>
          <w:p>
            <w:pPr>
              <w:ind w:left="480"/>
              <w:spacing w:after="0"/>
              <w:rPr>
                <w:sz w:val="20"/>
                <w:szCs w:val="20"/>
                <w:color w:val="auto"/>
              </w:rPr>
            </w:pPr>
            <w:r>
              <w:rPr>
                <w:rFonts w:ascii="Arial" w:cs="Arial" w:eastAsia="Arial" w:hAnsi="Arial"/>
                <w:sz w:val="18"/>
                <w:szCs w:val="18"/>
                <w:color w:val="auto"/>
              </w:rPr>
              <w:t>•   Increased LTI target by $5,000</w:t>
            </w:r>
          </w:p>
        </w:tc>
        <w:tc>
          <w:tcPr>
            <w:tcW w:w="0" w:type="dxa"/>
            <w:vAlign w:val="bottom"/>
          </w:tcPr>
          <w:p>
            <w:pPr>
              <w:spacing w:after="0"/>
              <w:rPr>
                <w:sz w:val="1"/>
                <w:szCs w:val="1"/>
                <w:color w:val="auto"/>
              </w:rPr>
            </w:pPr>
          </w:p>
        </w:tc>
      </w:tr>
      <w:tr>
        <w:trPr>
          <w:trHeight w:val="445"/>
        </w:trPr>
        <w:tc>
          <w:tcPr>
            <w:tcW w:w="176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8820" w:type="dxa"/>
            <w:vAlign w:val="bottom"/>
          </w:tcPr>
          <w:p>
            <w:pPr>
              <w:jc w:val="right"/>
              <w:ind w:right="3930"/>
              <w:spacing w:after="0"/>
              <w:rPr>
                <w:sz w:val="20"/>
                <w:szCs w:val="20"/>
                <w:color w:val="auto"/>
              </w:rPr>
            </w:pPr>
            <w:r>
              <w:rPr>
                <w:rFonts w:ascii="Arial" w:cs="Arial" w:eastAsia="Arial" w:hAnsi="Arial"/>
                <w:sz w:val="18"/>
                <w:szCs w:val="18"/>
                <w:color w:val="auto"/>
              </w:rPr>
              <w:t>Increased total direct compensation by 20.8%, inclusive of</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voluntary base salary cut</w:t>
            </w:r>
          </w:p>
        </w:tc>
        <w:tc>
          <w:tcPr>
            <w:tcW w:w="0" w:type="dxa"/>
            <w:vAlign w:val="bottom"/>
          </w:tcPr>
          <w:p>
            <w:pPr>
              <w:spacing w:after="0"/>
              <w:rPr>
                <w:sz w:val="1"/>
                <w:szCs w:val="1"/>
                <w:color w:val="auto"/>
              </w:rPr>
            </w:pPr>
          </w:p>
        </w:tc>
      </w:tr>
      <w:tr>
        <w:trPr>
          <w:trHeight w:val="175"/>
        </w:trPr>
        <w:tc>
          <w:tcPr>
            <w:tcW w:w="1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431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31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822960" cy="1028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2960" cy="1028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-4791710</wp:posOffset>
            </wp:positionV>
            <wp:extent cx="7132320" cy="4629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-4791710</wp:posOffset>
            </wp:positionV>
            <wp:extent cx="7132320" cy="4629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pacing w:after="0" w:line="362"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32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Shareholder Engagement and Enhancements to Compensation Program</w:t>
      </w:r>
    </w:p>
    <w:p>
      <w:pPr>
        <w:spacing w:after="0" w:line="1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in previous years, our holders of Common Voting Shares continued to show strong support for our executive compensation program by approving the compensation of our named executive officers at our 2020 Annual Meeting of Shareholders. The Committee views the support of our holders of Common Voting Shares as a strong endorsement of our compensation program and our emphasis on a pay-for-performance culture.</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greatly value the input received from the holders of Class A Common Shares and engage with them on a variety of matters–including strategy execution, executive compensation and corporate governance–as part of a year-round engagement process.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Our Compensation Policies and Practices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Committee continues to maintain a variety of the compensation policies and practices that are intended to promote the compensation objectives and align our compensation with industry practices, as described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2600" w:type="dxa"/>
            <w:vAlign w:val="bottom"/>
            <w:tcBorders>
              <w:top w:val="single" w:sz="8" w:color="auto"/>
              <w:bottom w:val="single" w:sz="8" w:color="auto"/>
            </w:tcBorders>
            <w:shd w:val="clear" w:color="auto" w:fill="E6E6E6"/>
          </w:tcPr>
          <w:p>
            <w:pPr>
              <w:ind w:left="660"/>
              <w:spacing w:after="0"/>
              <w:rPr>
                <w:sz w:val="20"/>
                <w:szCs w:val="20"/>
                <w:color w:val="auto"/>
              </w:rPr>
            </w:pPr>
            <w:r>
              <w:rPr>
                <w:rFonts w:ascii="Arial" w:cs="Arial" w:eastAsia="Arial" w:hAnsi="Arial"/>
                <w:sz w:val="18"/>
                <w:szCs w:val="18"/>
                <w:b w:val="1"/>
                <w:bCs w:val="1"/>
                <w:color w:val="0033A0"/>
              </w:rPr>
              <w:t>Policy or Practice</w:t>
            </w:r>
          </w:p>
        </w:tc>
        <w:tc>
          <w:tcPr>
            <w:tcW w:w="6080" w:type="dxa"/>
            <w:vAlign w:val="bottom"/>
            <w:tcBorders>
              <w:top w:val="single" w:sz="8" w:color="auto"/>
              <w:bottom w:val="single" w:sz="8" w:color="auto"/>
            </w:tcBorders>
            <w:shd w:val="clear" w:color="auto" w:fill="E6E6E6"/>
          </w:tcPr>
          <w:p>
            <w:pPr>
              <w:ind w:left="3920"/>
              <w:spacing w:after="0"/>
              <w:rPr>
                <w:sz w:val="20"/>
                <w:szCs w:val="20"/>
                <w:color w:val="auto"/>
              </w:rPr>
            </w:pPr>
            <w:r>
              <w:rPr>
                <w:rFonts w:ascii="Arial" w:cs="Arial" w:eastAsia="Arial" w:hAnsi="Arial"/>
                <w:sz w:val="18"/>
                <w:szCs w:val="18"/>
                <w:b w:val="1"/>
                <w:bCs w:val="1"/>
                <w:color w:val="0033A0"/>
              </w:rPr>
              <w:t>Description</w:t>
            </w:r>
          </w:p>
        </w:tc>
        <w:tc>
          <w:tcPr>
            <w:tcW w:w="256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w w:val="95"/>
              </w:rPr>
              <w:t>Hedging or Pledging Transactions</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4"/>
              </w:rPr>
              <w:t>Our insider trading policy prohibits our employees, officers and directors from engaging in any hedging or pledging</w:t>
            </w:r>
          </w:p>
        </w:tc>
        <w:tc>
          <w:tcPr>
            <w:tcW w:w="20" w:type="dxa"/>
            <w:vAlign w:val="bottom"/>
          </w:tcPr>
          <w:p>
            <w:pPr>
              <w:spacing w:after="0"/>
              <w:rPr>
                <w:sz w:val="16"/>
                <w:szCs w:val="16"/>
                <w:color w:val="auto"/>
              </w:rPr>
            </w:pP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transactions with our Class A Common Shares.</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rPr>
              <w:t>Clawback Policy</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6"/>
              </w:rPr>
              <w:t>We maintain a clawback policy, under which we require the reimbursement of any incentive compensation if the</w:t>
            </w:r>
          </w:p>
        </w:tc>
        <w:tc>
          <w:tcPr>
            <w:tcW w:w="2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4"/>
              </w:rPr>
              <w:t>payment was predicated upon financial results that were subsequently the subject of a restatement caused by the</w:t>
            </w: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recipient’s fraud or misconduct.</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rPr>
              <w:t>Excise Tax Gross-Ups</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1"/>
              </w:rPr>
              <w:t>Effective 2020, the Committee removed all excise tax gross-up provisions under our severance programs. As a result,</w:t>
            </w:r>
          </w:p>
        </w:tc>
        <w:tc>
          <w:tcPr>
            <w:tcW w:w="2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1"/>
              </w:rPr>
              <w:t>the Company no longer provides tax gross-ups for named executive officers or any other employees in the event they</w:t>
            </w: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1"/>
              </w:rPr>
              <w:t>are subject to golden parachute excise taxes on severance or other payments received in connection with a change in</w:t>
            </w: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control.</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rPr>
              <w:t>Stock Ownership Guidelines</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3"/>
              </w:rPr>
              <w:t>Our stock ownership policy requires our executive officers to hold a minimum level of our Class A Common Shares</w:t>
            </w:r>
          </w:p>
        </w:tc>
        <w:tc>
          <w:tcPr>
            <w:tcW w:w="2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1"/>
              </w:rPr>
              <w:t>so that each executive has personal wealth tied to the long-term success of the Company and, therefore, has interests</w:t>
            </w: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that are aligned with those of our shareholders.</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w w:val="94"/>
              </w:rPr>
              <w:t>Evaluation of Compensation Risks</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1"/>
              </w:rPr>
              <w:t>We annually review our compensation program to confirm that our policies and practices are not creating excessive or</w:t>
            </w:r>
          </w:p>
        </w:tc>
        <w:tc>
          <w:tcPr>
            <w:tcW w:w="2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1"/>
              </w:rPr>
              <w:t>inappropriate risks. We believe that our compensation program provides an appropriate balance between current and</w:t>
            </w: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3"/>
              </w:rPr>
              <w:t>long-term performance objectives, cash and equity compensation, and risks and rewards associated with executive</w:t>
            </w: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3"/>
              </w:rPr>
              <w:t>roles. Further, we provide STI opportunities that are based on balanced performance metrics to promote disciplined</w:t>
            </w: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4"/>
              </w:rPr>
              <w:t>progress toward advancing our business objectives. All payouts for named executive officers are capped at a pre-</w:t>
            </w: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established percentage of base salary.</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rPr>
              <w:t>Review of Share Utilization</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5"/>
              </w:rPr>
              <w:t>We annually review overhang levels (the dilutive impact of equity awards on our shareholders) and run rates (the</w:t>
            </w:r>
          </w:p>
        </w:tc>
        <w:tc>
          <w:tcPr>
            <w:tcW w:w="20" w:type="dxa"/>
            <w:vAlign w:val="bottom"/>
          </w:tcPr>
          <w:p>
            <w:pPr>
              <w:spacing w:after="0"/>
              <w:rPr>
                <w:sz w:val="16"/>
                <w:szCs w:val="16"/>
                <w:color w:val="auto"/>
              </w:rPr>
            </w:pP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aggregate shares awarded as a percentage of total outstanding shares).</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600" w:type="dxa"/>
            <w:vAlign w:val="bottom"/>
          </w:tcPr>
          <w:p>
            <w:pPr>
              <w:spacing w:after="0" w:line="195" w:lineRule="exact"/>
              <w:rPr>
                <w:sz w:val="20"/>
                <w:szCs w:val="20"/>
                <w:color w:val="auto"/>
              </w:rPr>
            </w:pPr>
            <w:r>
              <w:rPr>
                <w:rFonts w:ascii="Arial" w:cs="Arial" w:eastAsia="Arial" w:hAnsi="Arial"/>
                <w:sz w:val="18"/>
                <w:szCs w:val="18"/>
                <w:color w:val="auto"/>
              </w:rPr>
              <w:t>Use of Independent Consultant</w:t>
            </w:r>
          </w:p>
        </w:tc>
        <w:tc>
          <w:tcPr>
            <w:tcW w:w="86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0"/>
              </w:rPr>
              <w:t>The Committee retains an independent consultant to provide advice in the development of our executive compensation</w:t>
            </w:r>
          </w:p>
        </w:tc>
        <w:tc>
          <w:tcPr>
            <w:tcW w:w="2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5"/>
              </w:rPr>
              <w:t>strategy and program. The Committee, with the assistance of the independent consultant, regularly evaluates the</w:t>
            </w:r>
          </w:p>
        </w:tc>
      </w:tr>
      <w:tr>
        <w:trPr>
          <w:trHeight w:val="216"/>
        </w:trPr>
        <w:tc>
          <w:tcPr>
            <w:tcW w:w="2600" w:type="dxa"/>
            <w:vAlign w:val="bottom"/>
          </w:tcPr>
          <w:p>
            <w:pPr>
              <w:spacing w:after="0"/>
              <w:rPr>
                <w:sz w:val="18"/>
                <w:szCs w:val="18"/>
                <w:color w:val="auto"/>
              </w:rPr>
            </w:pPr>
          </w:p>
        </w:tc>
        <w:tc>
          <w:tcPr>
            <w:tcW w:w="8660" w:type="dxa"/>
            <w:vAlign w:val="bottom"/>
            <w:gridSpan w:val="3"/>
          </w:tcPr>
          <w:p>
            <w:pPr>
              <w:ind w:left="80"/>
              <w:spacing w:after="0"/>
              <w:rPr>
                <w:sz w:val="20"/>
                <w:szCs w:val="20"/>
                <w:color w:val="auto"/>
              </w:rPr>
            </w:pPr>
            <w:r>
              <w:rPr>
                <w:rFonts w:ascii="Arial" w:cs="Arial" w:eastAsia="Arial" w:hAnsi="Arial"/>
                <w:sz w:val="18"/>
                <w:szCs w:val="18"/>
                <w:color w:val="auto"/>
                <w:w w:val="91"/>
              </w:rPr>
              <w:t>compensation practices of our peer companies to confirm that our compensation programs are consistent with market</w:t>
            </w:r>
          </w:p>
        </w:tc>
      </w:tr>
      <w:tr>
        <w:trPr>
          <w:trHeight w:val="230"/>
        </w:trPr>
        <w:tc>
          <w:tcPr>
            <w:tcW w:w="260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peers.</w:t>
            </w:r>
          </w:p>
        </w:tc>
        <w:tc>
          <w:tcPr>
            <w:tcW w:w="2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574"/>
        </w:trPr>
        <w:tc>
          <w:tcPr>
            <w:tcW w:w="2600" w:type="dxa"/>
            <w:vAlign w:val="bottom"/>
            <w:tcBorders>
              <w:bottom w:val="single" w:sz="8" w:color="0033A0"/>
            </w:tcBorders>
          </w:tcPr>
          <w:p>
            <w:pPr>
              <w:spacing w:after="0"/>
              <w:rPr>
                <w:sz w:val="24"/>
                <w:szCs w:val="24"/>
                <w:color w:val="auto"/>
              </w:rPr>
            </w:pPr>
          </w:p>
        </w:tc>
        <w:tc>
          <w:tcPr>
            <w:tcW w:w="6080" w:type="dxa"/>
            <w:vAlign w:val="bottom"/>
            <w:tcBorders>
              <w:bottom w:val="single" w:sz="8" w:color="0033A0"/>
            </w:tcBorders>
          </w:tcPr>
          <w:p>
            <w:pPr>
              <w:spacing w:after="0"/>
              <w:rPr>
                <w:sz w:val="24"/>
                <w:szCs w:val="24"/>
                <w:color w:val="auto"/>
              </w:rPr>
            </w:pPr>
          </w:p>
        </w:tc>
        <w:tc>
          <w:tcPr>
            <w:tcW w:w="2560" w:type="dxa"/>
            <w:vAlign w:val="bottom"/>
            <w:tcBorders>
              <w:bottom w:val="single" w:sz="8" w:color="0033A0"/>
            </w:tcBorders>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600" w:type="dxa"/>
            <w:vAlign w:val="bottom"/>
          </w:tcPr>
          <w:p>
            <w:pPr>
              <w:ind w:left="500"/>
              <w:spacing w:after="0"/>
              <w:rPr>
                <w:sz w:val="20"/>
                <w:szCs w:val="20"/>
                <w:color w:val="auto"/>
              </w:rPr>
            </w:pPr>
            <w:r>
              <w:rPr>
                <w:rFonts w:ascii="Arial" w:cs="Arial" w:eastAsia="Arial" w:hAnsi="Arial"/>
                <w:sz w:val="18"/>
                <w:szCs w:val="18"/>
                <w:color w:val="auto"/>
                <w:w w:val="93"/>
              </w:rPr>
              <w:t>The E.W. Scripps Company</w:t>
            </w:r>
          </w:p>
        </w:tc>
        <w:tc>
          <w:tcPr>
            <w:tcW w:w="6080" w:type="dxa"/>
            <w:vAlign w:val="bottom"/>
          </w:tcPr>
          <w:p>
            <w:pPr>
              <w:ind w:left="3100"/>
              <w:spacing w:after="0"/>
              <w:rPr>
                <w:sz w:val="20"/>
                <w:szCs w:val="20"/>
                <w:color w:val="auto"/>
              </w:rPr>
            </w:pPr>
            <w:r>
              <w:rPr>
                <w:rFonts w:ascii="Arial" w:cs="Arial" w:eastAsia="Arial" w:hAnsi="Arial"/>
                <w:sz w:val="25"/>
                <w:szCs w:val="25"/>
                <w:b w:val="1"/>
                <w:bCs w:val="1"/>
                <w:color w:val="0033A0"/>
              </w:rPr>
              <w:t>33</w:t>
            </w:r>
          </w:p>
        </w:tc>
        <w:tc>
          <w:tcPr>
            <w:tcW w:w="2580" w:type="dxa"/>
            <w:vAlign w:val="bottom"/>
            <w:gridSpan w:val="2"/>
          </w:tcPr>
          <w:p>
            <w:pPr>
              <w:ind w:left="960"/>
              <w:spacing w:after="0"/>
              <w:rPr>
                <w:sz w:val="20"/>
                <w:szCs w:val="20"/>
                <w:color w:val="auto"/>
              </w:rPr>
            </w:pPr>
            <w:r>
              <w:rPr>
                <w:rFonts w:ascii="Arial" w:cs="Arial" w:eastAsia="Arial" w:hAnsi="Arial"/>
                <w:sz w:val="18"/>
                <w:szCs w:val="18"/>
                <w:color w:val="auto"/>
                <w:w w:val="89"/>
              </w:rPr>
              <w:t>2020 Proxy Statement</w:t>
            </w:r>
          </w:p>
        </w:tc>
      </w:tr>
      <w:tr>
        <w:trPr>
          <w:trHeight w:val="255"/>
        </w:trPr>
        <w:tc>
          <w:tcPr>
            <w:tcW w:w="2600" w:type="dxa"/>
            <w:vAlign w:val="bottom"/>
            <w:tcBorders>
              <w:bottom w:val="single" w:sz="8" w:color="9A9A9A"/>
            </w:tcBorders>
          </w:tcPr>
          <w:p>
            <w:pPr>
              <w:spacing w:after="0"/>
              <w:rPr>
                <w:sz w:val="22"/>
                <w:szCs w:val="22"/>
                <w:color w:val="auto"/>
              </w:rPr>
            </w:pPr>
          </w:p>
        </w:tc>
        <w:tc>
          <w:tcPr>
            <w:tcW w:w="6080" w:type="dxa"/>
            <w:vAlign w:val="bottom"/>
            <w:tcBorders>
              <w:bottom w:val="single" w:sz="8" w:color="9A9A9A"/>
            </w:tcBorders>
          </w:tcPr>
          <w:p>
            <w:pPr>
              <w:spacing w:after="0"/>
              <w:rPr>
                <w:sz w:val="22"/>
                <w:szCs w:val="22"/>
                <w:color w:val="auto"/>
              </w:rPr>
            </w:pPr>
          </w:p>
        </w:tc>
        <w:tc>
          <w:tcPr>
            <w:tcW w:w="25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20574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0033A0"/>
        </w:rPr>
        <w:t>Core Compensation Elements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each element of the core compensation program for our named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Base Salary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competitive base salaries to attract and retain key executive talent. As part of the annual review process, and in accordance with the terms of his employment agreement, Mr. Symson’s base salary was increased from $1,000,000 to $1,200,000. In addition, Ms. Knutson’s salary was increased by 8.3% to $650,000, Mr. Lawlor’s salary was increased by 3.5% to $700,000, and Mr. Appleton’s salary was increased by 3% to $509,000. Ms. Tomlin did not receive a merit increase in 2020 because her salary was previously adjusted in November 2019 in connection with her promotion to Executive Vice President.</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light of the business uncertainty created by the novel coronavirus (COVID-19), the named executive officers voluntarily waived these merit increases, effective March 9, 2020. In addition to waiving their merit increases, the named executive officers also voluntarily accepted an additional salary cut, effective April 6, 2020, of 15% for Mr. Symson and 10% for the other named executive officers. The Company independently decided to use the cost savings associated with these voluntary salary cuts to fund a donation to The Scripps Howard Foundation’s COVID-19 Employee Relief Fund. The Foundation created the fund to help our employees who are adversely affected by the COVID-19 crisis. The following table summarizes the changes in base salary described above: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60" w:type="dxa"/>
            <w:vAlign w:val="bottom"/>
            <w:shd w:val="clear" w:color="auto" w:fill="BFBFBF"/>
          </w:tcPr>
          <w:p>
            <w:pPr>
              <w:spacing w:after="0"/>
              <w:rPr>
                <w:sz w:val="19"/>
                <w:szCs w:val="19"/>
                <w:color w:val="auto"/>
              </w:rPr>
            </w:pPr>
          </w:p>
        </w:tc>
        <w:tc>
          <w:tcPr>
            <w:tcW w:w="400" w:type="dxa"/>
            <w:vAlign w:val="bottom"/>
            <w:shd w:val="clear" w:color="auto" w:fill="BFBFBF"/>
          </w:tcPr>
          <w:p>
            <w:pPr>
              <w:spacing w:after="0"/>
              <w:rPr>
                <w:sz w:val="19"/>
                <w:szCs w:val="19"/>
                <w:color w:val="auto"/>
              </w:rPr>
            </w:pPr>
          </w:p>
        </w:tc>
        <w:tc>
          <w:tcPr>
            <w:tcW w:w="1340" w:type="dxa"/>
            <w:vAlign w:val="bottom"/>
            <w:shd w:val="clear" w:color="auto" w:fill="BFBFBF"/>
          </w:tcPr>
          <w:p>
            <w:pPr>
              <w:spacing w:after="0"/>
              <w:rPr>
                <w:sz w:val="19"/>
                <w:szCs w:val="19"/>
                <w:color w:val="auto"/>
              </w:rPr>
            </w:pPr>
          </w:p>
        </w:tc>
        <w:tc>
          <w:tcPr>
            <w:tcW w:w="580" w:type="dxa"/>
            <w:vAlign w:val="bottom"/>
            <w:shd w:val="clear" w:color="auto" w:fill="BFBFBF"/>
          </w:tcPr>
          <w:p>
            <w:pPr>
              <w:spacing w:after="0"/>
              <w:rPr>
                <w:sz w:val="19"/>
                <w:szCs w:val="19"/>
                <w:color w:val="auto"/>
              </w:rPr>
            </w:pPr>
          </w:p>
        </w:tc>
        <w:tc>
          <w:tcPr>
            <w:tcW w:w="1020" w:type="dxa"/>
            <w:vAlign w:val="bottom"/>
            <w:shd w:val="clear" w:color="auto" w:fill="BFBFBF"/>
          </w:tcPr>
          <w:p>
            <w:pPr>
              <w:spacing w:after="0"/>
              <w:rPr>
                <w:sz w:val="19"/>
                <w:szCs w:val="19"/>
                <w:color w:val="auto"/>
              </w:rPr>
            </w:pPr>
          </w:p>
        </w:tc>
        <w:tc>
          <w:tcPr>
            <w:tcW w:w="240" w:type="dxa"/>
            <w:vAlign w:val="bottom"/>
            <w:shd w:val="clear" w:color="auto" w:fill="BFBFBF"/>
          </w:tcPr>
          <w:p>
            <w:pPr>
              <w:spacing w:after="0"/>
              <w:rPr>
                <w:sz w:val="19"/>
                <w:szCs w:val="19"/>
                <w:color w:val="auto"/>
              </w:rPr>
            </w:pPr>
          </w:p>
        </w:tc>
        <w:tc>
          <w:tcPr>
            <w:tcW w:w="1360" w:type="dxa"/>
            <w:vAlign w:val="bottom"/>
            <w:shd w:val="clear" w:color="auto" w:fill="BFBFBF"/>
          </w:tcPr>
          <w:p>
            <w:pPr>
              <w:spacing w:after="0"/>
              <w:rPr>
                <w:sz w:val="19"/>
                <w:szCs w:val="19"/>
                <w:color w:val="auto"/>
              </w:rPr>
            </w:pPr>
          </w:p>
        </w:tc>
        <w:tc>
          <w:tcPr>
            <w:tcW w:w="280" w:type="dxa"/>
            <w:vAlign w:val="bottom"/>
            <w:shd w:val="clear" w:color="auto" w:fill="BFBFBF"/>
          </w:tcPr>
          <w:p>
            <w:pPr>
              <w:spacing w:after="0"/>
              <w:rPr>
                <w:sz w:val="19"/>
                <w:szCs w:val="19"/>
                <w:color w:val="auto"/>
              </w:rPr>
            </w:pPr>
          </w:p>
        </w:tc>
        <w:tc>
          <w:tcPr>
            <w:tcW w:w="1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1280" w:type="dxa"/>
            <w:vAlign w:val="bottom"/>
            <w:shd w:val="clear" w:color="auto" w:fill="BFBFBF"/>
          </w:tcPr>
          <w:p>
            <w:pPr>
              <w:spacing w:after="0"/>
              <w:rPr>
                <w:sz w:val="19"/>
                <w:szCs w:val="19"/>
                <w:color w:val="auto"/>
              </w:rPr>
            </w:pPr>
          </w:p>
        </w:tc>
        <w:tc>
          <w:tcPr>
            <w:tcW w:w="420" w:type="dxa"/>
            <w:vAlign w:val="bottom"/>
            <w:shd w:val="clear" w:color="auto" w:fill="BFBFBF"/>
          </w:tcPr>
          <w:p>
            <w:pPr>
              <w:spacing w:after="0"/>
              <w:rPr>
                <w:sz w:val="19"/>
                <w:szCs w:val="19"/>
                <w:color w:val="auto"/>
              </w:rPr>
            </w:pPr>
          </w:p>
        </w:tc>
        <w:tc>
          <w:tcPr>
            <w:tcW w:w="1180" w:type="dxa"/>
            <w:vAlign w:val="bottom"/>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E6E6E6"/>
          </w:tcPr>
          <w:p>
            <w:pPr>
              <w:spacing w:after="0"/>
              <w:rPr>
                <w:sz w:val="12"/>
                <w:szCs w:val="12"/>
                <w:color w:val="auto"/>
              </w:rPr>
            </w:pPr>
          </w:p>
        </w:tc>
        <w:tc>
          <w:tcPr>
            <w:tcW w:w="400" w:type="dxa"/>
            <w:vAlign w:val="bottom"/>
            <w:shd w:val="clear" w:color="auto" w:fill="E6E6E6"/>
          </w:tcPr>
          <w:p>
            <w:pPr>
              <w:spacing w:after="0"/>
              <w:rPr>
                <w:sz w:val="12"/>
                <w:szCs w:val="12"/>
                <w:color w:val="auto"/>
              </w:rPr>
            </w:pPr>
          </w:p>
        </w:tc>
        <w:tc>
          <w:tcPr>
            <w:tcW w:w="13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102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1360" w:type="dxa"/>
            <w:vAlign w:val="bottom"/>
            <w:shd w:val="clear" w:color="auto" w:fill="E6E6E6"/>
          </w:tcPr>
          <w:p>
            <w:pPr>
              <w:spacing w:after="0"/>
              <w:rPr>
                <w:sz w:val="12"/>
                <w:szCs w:val="12"/>
                <w:color w:val="auto"/>
              </w:rPr>
            </w:pPr>
          </w:p>
        </w:tc>
        <w:tc>
          <w:tcPr>
            <w:tcW w:w="1640" w:type="dxa"/>
            <w:vAlign w:val="bottom"/>
            <w:gridSpan w:val="2"/>
            <w:vMerge w:val="restart"/>
            <w:shd w:val="clear" w:color="auto" w:fill="E6E6E6"/>
          </w:tcPr>
          <w:p>
            <w:pPr>
              <w:jc w:val="right"/>
              <w:ind w:right="141"/>
              <w:spacing w:after="0"/>
              <w:rPr>
                <w:sz w:val="20"/>
                <w:szCs w:val="20"/>
                <w:color w:val="auto"/>
              </w:rPr>
            </w:pPr>
            <w:r>
              <w:rPr>
                <w:rFonts w:ascii="Arial" w:cs="Arial" w:eastAsia="Arial" w:hAnsi="Arial"/>
                <w:sz w:val="14"/>
                <w:szCs w:val="14"/>
                <w:b w:val="1"/>
                <w:bCs w:val="1"/>
                <w:color w:val="0033A0"/>
              </w:rPr>
              <w:t>Voluntary Waiver of</w:t>
            </w:r>
          </w:p>
        </w:tc>
        <w:tc>
          <w:tcPr>
            <w:tcW w:w="1600" w:type="dxa"/>
            <w:vAlign w:val="bottom"/>
            <w:gridSpan w:val="2"/>
            <w:vMerge w:val="restart"/>
            <w:shd w:val="clear" w:color="auto" w:fill="E6E6E6"/>
          </w:tcPr>
          <w:p>
            <w:pPr>
              <w:ind w:left="100"/>
              <w:spacing w:after="0"/>
              <w:rPr>
                <w:sz w:val="20"/>
                <w:szCs w:val="20"/>
                <w:color w:val="auto"/>
              </w:rPr>
            </w:pPr>
            <w:r>
              <w:rPr>
                <w:rFonts w:ascii="Arial" w:cs="Arial" w:eastAsia="Arial" w:hAnsi="Arial"/>
                <w:sz w:val="14"/>
                <w:szCs w:val="14"/>
                <w:b w:val="1"/>
                <w:bCs w:val="1"/>
                <w:color w:val="0033A0"/>
              </w:rPr>
              <w:t>Additional Voluntary</w:t>
            </w:r>
          </w:p>
        </w:tc>
        <w:tc>
          <w:tcPr>
            <w:tcW w:w="1600" w:type="dxa"/>
            <w:vAlign w:val="bottom"/>
            <w:gridSpan w:val="2"/>
            <w:shd w:val="clear" w:color="auto" w:fill="E6E6E6"/>
          </w:tcPr>
          <w:p>
            <w:pPr>
              <w:jc w:val="center"/>
              <w:spacing w:after="0" w:line="139" w:lineRule="exact"/>
              <w:rPr>
                <w:sz w:val="20"/>
                <w:szCs w:val="20"/>
                <w:color w:val="auto"/>
              </w:rPr>
            </w:pPr>
            <w:r>
              <w:rPr>
                <w:rFonts w:ascii="Arial" w:cs="Arial" w:eastAsia="Arial" w:hAnsi="Arial"/>
                <w:sz w:val="14"/>
                <w:szCs w:val="14"/>
                <w:b w:val="1"/>
                <w:bCs w:val="1"/>
                <w:color w:val="0033A0"/>
                <w:w w:val="90"/>
              </w:rPr>
              <w:t>Adjusted 2020 Base</w:t>
            </w:r>
          </w:p>
        </w:tc>
        <w:tc>
          <w:tcPr>
            <w:tcW w:w="0" w:type="dxa"/>
            <w:vAlign w:val="bottom"/>
          </w:tcPr>
          <w:p>
            <w:pPr>
              <w:spacing w:after="0"/>
              <w:rPr>
                <w:sz w:val="1"/>
                <w:szCs w:val="1"/>
                <w:color w:val="auto"/>
              </w:rPr>
            </w:pPr>
          </w:p>
        </w:tc>
      </w:tr>
      <w:tr>
        <w:trPr>
          <w:trHeight w:val="148"/>
        </w:trPr>
        <w:tc>
          <w:tcPr>
            <w:tcW w:w="1460" w:type="dxa"/>
            <w:vAlign w:val="bottom"/>
            <w:vMerge w:val="restart"/>
            <w:shd w:val="clear" w:color="auto" w:fill="E6E6E6"/>
          </w:tcPr>
          <w:p>
            <w:pPr>
              <w:ind w:left="140"/>
              <w:spacing w:after="0"/>
              <w:rPr>
                <w:sz w:val="20"/>
                <w:szCs w:val="20"/>
                <w:color w:val="auto"/>
              </w:rPr>
            </w:pPr>
            <w:r>
              <w:rPr>
                <w:rFonts w:ascii="Arial" w:cs="Arial" w:eastAsia="Arial" w:hAnsi="Arial"/>
                <w:sz w:val="14"/>
                <w:szCs w:val="14"/>
                <w:b w:val="1"/>
                <w:bCs w:val="1"/>
                <w:color w:val="0033A0"/>
              </w:rPr>
              <w:t>Name</w:t>
            </w:r>
          </w:p>
        </w:tc>
        <w:tc>
          <w:tcPr>
            <w:tcW w:w="400" w:type="dxa"/>
            <w:vAlign w:val="bottom"/>
            <w:shd w:val="clear" w:color="auto" w:fill="E6E6E6"/>
          </w:tcPr>
          <w:p>
            <w:pPr>
              <w:spacing w:after="0"/>
              <w:rPr>
                <w:sz w:val="12"/>
                <w:szCs w:val="12"/>
                <w:color w:val="auto"/>
              </w:rPr>
            </w:pPr>
          </w:p>
        </w:tc>
        <w:tc>
          <w:tcPr>
            <w:tcW w:w="1340" w:type="dxa"/>
            <w:vAlign w:val="bottom"/>
            <w:vMerge w:val="restart"/>
            <w:shd w:val="clear" w:color="auto" w:fill="E6E6E6"/>
          </w:tcPr>
          <w:p>
            <w:pPr>
              <w:jc w:val="right"/>
              <w:ind w:right="181"/>
              <w:spacing w:after="0"/>
              <w:rPr>
                <w:sz w:val="20"/>
                <w:szCs w:val="20"/>
                <w:color w:val="auto"/>
              </w:rPr>
            </w:pPr>
            <w:r>
              <w:rPr>
                <w:rFonts w:ascii="Arial" w:cs="Arial" w:eastAsia="Arial" w:hAnsi="Arial"/>
                <w:sz w:val="14"/>
                <w:szCs w:val="14"/>
                <w:b w:val="1"/>
                <w:bCs w:val="1"/>
                <w:color w:val="0033A0"/>
                <w:w w:val="92"/>
              </w:rPr>
              <w:t>2019 Base Salary</w:t>
            </w:r>
          </w:p>
        </w:tc>
        <w:tc>
          <w:tcPr>
            <w:tcW w:w="1600" w:type="dxa"/>
            <w:vAlign w:val="bottom"/>
            <w:gridSpan w:val="2"/>
            <w:vMerge w:val="restart"/>
            <w:shd w:val="clear" w:color="auto" w:fill="E6E6E6"/>
          </w:tcPr>
          <w:p>
            <w:pPr>
              <w:jc w:val="right"/>
              <w:ind w:right="99"/>
              <w:spacing w:after="0"/>
              <w:rPr>
                <w:sz w:val="20"/>
                <w:szCs w:val="20"/>
                <w:color w:val="auto"/>
              </w:rPr>
            </w:pPr>
            <w:r>
              <w:rPr>
                <w:rFonts w:ascii="Arial" w:cs="Arial" w:eastAsia="Arial" w:hAnsi="Arial"/>
                <w:sz w:val="14"/>
                <w:szCs w:val="14"/>
                <w:b w:val="1"/>
                <w:bCs w:val="1"/>
                <w:color w:val="0033A0"/>
              </w:rPr>
              <w:t>2020 Merit Increase</w:t>
            </w:r>
          </w:p>
        </w:tc>
        <w:tc>
          <w:tcPr>
            <w:tcW w:w="240" w:type="dxa"/>
            <w:vAlign w:val="bottom"/>
            <w:shd w:val="clear" w:color="auto" w:fill="E6E6E6"/>
          </w:tcPr>
          <w:p>
            <w:pPr>
              <w:spacing w:after="0"/>
              <w:rPr>
                <w:sz w:val="12"/>
                <w:szCs w:val="12"/>
                <w:color w:val="auto"/>
              </w:rPr>
            </w:pPr>
          </w:p>
        </w:tc>
        <w:tc>
          <w:tcPr>
            <w:tcW w:w="1360" w:type="dxa"/>
            <w:vAlign w:val="bottom"/>
            <w:vMerge w:val="restart"/>
            <w:shd w:val="clear" w:color="auto" w:fill="E6E6E6"/>
          </w:tcPr>
          <w:p>
            <w:pPr>
              <w:jc w:val="right"/>
              <w:ind w:right="201"/>
              <w:spacing w:after="0"/>
              <w:rPr>
                <w:sz w:val="20"/>
                <w:szCs w:val="20"/>
                <w:color w:val="auto"/>
              </w:rPr>
            </w:pPr>
            <w:r>
              <w:rPr>
                <w:rFonts w:ascii="Arial" w:cs="Arial" w:eastAsia="Arial" w:hAnsi="Arial"/>
                <w:sz w:val="14"/>
                <w:szCs w:val="14"/>
                <w:b w:val="1"/>
                <w:bCs w:val="1"/>
                <w:color w:val="0033A0"/>
                <w:w w:val="92"/>
              </w:rPr>
              <w:t>2020 Base Salary</w:t>
            </w:r>
          </w:p>
        </w:tc>
        <w:tc>
          <w:tcPr>
            <w:tcW w:w="1640" w:type="dxa"/>
            <w:vAlign w:val="bottom"/>
            <w:gridSpan w:val="2"/>
            <w:vMerge w:val="continue"/>
            <w:shd w:val="clear" w:color="auto" w:fill="E6E6E6"/>
          </w:tcPr>
          <w:p>
            <w:pPr>
              <w:spacing w:after="0"/>
              <w:rPr>
                <w:sz w:val="12"/>
                <w:szCs w:val="12"/>
                <w:color w:val="auto"/>
              </w:rPr>
            </w:pPr>
          </w:p>
        </w:tc>
        <w:tc>
          <w:tcPr>
            <w:tcW w:w="1600" w:type="dxa"/>
            <w:vAlign w:val="bottom"/>
            <w:gridSpan w:val="2"/>
            <w:vMerge w:val="continue"/>
            <w:shd w:val="clear" w:color="auto" w:fill="E6E6E6"/>
          </w:tcPr>
          <w:p>
            <w:pPr>
              <w:spacing w:after="0"/>
              <w:rPr>
                <w:sz w:val="12"/>
                <w:szCs w:val="12"/>
                <w:color w:val="auto"/>
              </w:rPr>
            </w:pPr>
          </w:p>
        </w:tc>
        <w:tc>
          <w:tcPr>
            <w:tcW w:w="1600" w:type="dxa"/>
            <w:vAlign w:val="bottom"/>
            <w:gridSpan w:val="2"/>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0033A0"/>
                <w:w w:val="95"/>
              </w:rPr>
              <w:t>Salary as of April 6,</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BFBFBF"/>
            </w:tcBorders>
            <w:vMerge w:val="continue"/>
            <w:shd w:val="clear" w:color="auto" w:fill="E6E6E6"/>
          </w:tcPr>
          <w:p>
            <w:pPr>
              <w:spacing w:after="0"/>
              <w:rPr>
                <w:sz w:val="15"/>
                <w:szCs w:val="15"/>
                <w:color w:val="auto"/>
              </w:rPr>
            </w:pPr>
          </w:p>
        </w:tc>
        <w:tc>
          <w:tcPr>
            <w:tcW w:w="400" w:type="dxa"/>
            <w:vAlign w:val="bottom"/>
            <w:tcBorders>
              <w:bottom w:val="single" w:sz="8" w:color="BFBFBF"/>
            </w:tcBorders>
            <w:shd w:val="clear" w:color="auto" w:fill="E6E6E6"/>
          </w:tcPr>
          <w:p>
            <w:pPr>
              <w:spacing w:after="0"/>
              <w:rPr>
                <w:sz w:val="15"/>
                <w:szCs w:val="15"/>
                <w:color w:val="auto"/>
              </w:rPr>
            </w:pPr>
          </w:p>
        </w:tc>
        <w:tc>
          <w:tcPr>
            <w:tcW w:w="1340" w:type="dxa"/>
            <w:vAlign w:val="bottom"/>
            <w:tcBorders>
              <w:bottom w:val="single" w:sz="8" w:color="BFBFBF"/>
            </w:tcBorders>
            <w:vMerge w:val="continue"/>
            <w:shd w:val="clear" w:color="auto" w:fill="E6E6E6"/>
          </w:tcPr>
          <w:p>
            <w:pPr>
              <w:spacing w:after="0"/>
              <w:rPr>
                <w:sz w:val="15"/>
                <w:szCs w:val="15"/>
                <w:color w:val="auto"/>
              </w:rPr>
            </w:pPr>
          </w:p>
        </w:tc>
        <w:tc>
          <w:tcPr>
            <w:tcW w:w="1600" w:type="dxa"/>
            <w:vAlign w:val="bottom"/>
            <w:tcBorders>
              <w:bottom w:val="single" w:sz="8" w:color="BFBFBF"/>
            </w:tcBorders>
            <w:gridSpan w:val="2"/>
            <w:vMerge w:val="continue"/>
            <w:shd w:val="clear" w:color="auto" w:fill="E6E6E6"/>
          </w:tcPr>
          <w:p>
            <w:pPr>
              <w:spacing w:after="0"/>
              <w:rPr>
                <w:sz w:val="15"/>
                <w:szCs w:val="15"/>
                <w:color w:val="auto"/>
              </w:rPr>
            </w:pPr>
          </w:p>
        </w:tc>
        <w:tc>
          <w:tcPr>
            <w:tcW w:w="240" w:type="dxa"/>
            <w:vAlign w:val="bottom"/>
            <w:tcBorders>
              <w:bottom w:val="single" w:sz="8" w:color="BFBFBF"/>
            </w:tcBorders>
            <w:shd w:val="clear" w:color="auto" w:fill="E6E6E6"/>
          </w:tcPr>
          <w:p>
            <w:pPr>
              <w:spacing w:after="0"/>
              <w:rPr>
                <w:sz w:val="15"/>
                <w:szCs w:val="15"/>
                <w:color w:val="auto"/>
              </w:rPr>
            </w:pPr>
          </w:p>
        </w:tc>
        <w:tc>
          <w:tcPr>
            <w:tcW w:w="1360" w:type="dxa"/>
            <w:vAlign w:val="bottom"/>
            <w:tcBorders>
              <w:bottom w:val="single" w:sz="8" w:color="BFBFBF"/>
            </w:tcBorders>
            <w:vMerge w:val="continue"/>
            <w:shd w:val="clear" w:color="auto" w:fill="E6E6E6"/>
          </w:tcPr>
          <w:p>
            <w:pPr>
              <w:spacing w:after="0"/>
              <w:rPr>
                <w:sz w:val="15"/>
                <w:szCs w:val="15"/>
                <w:color w:val="auto"/>
              </w:rPr>
            </w:pPr>
          </w:p>
        </w:tc>
        <w:tc>
          <w:tcPr>
            <w:tcW w:w="280" w:type="dxa"/>
            <w:vAlign w:val="bottom"/>
            <w:tcBorders>
              <w:bottom w:val="single" w:sz="8" w:color="BFBFBF"/>
            </w:tcBorders>
            <w:shd w:val="clear" w:color="auto" w:fill="E6E6E6"/>
          </w:tcPr>
          <w:p>
            <w:pPr>
              <w:spacing w:after="0"/>
              <w:rPr>
                <w:sz w:val="15"/>
                <w:szCs w:val="15"/>
                <w:color w:val="auto"/>
              </w:rPr>
            </w:pPr>
          </w:p>
        </w:tc>
        <w:tc>
          <w:tcPr>
            <w:tcW w:w="1360" w:type="dxa"/>
            <w:vAlign w:val="bottom"/>
            <w:tcBorders>
              <w:bottom w:val="single" w:sz="8" w:color="BFBFBF"/>
            </w:tcBorders>
            <w:shd w:val="clear" w:color="auto" w:fill="E6E6E6"/>
          </w:tcPr>
          <w:p>
            <w:pPr>
              <w:jc w:val="right"/>
              <w:ind w:right="321"/>
              <w:spacing w:after="0"/>
              <w:rPr>
                <w:sz w:val="20"/>
                <w:szCs w:val="20"/>
                <w:color w:val="auto"/>
              </w:rPr>
            </w:pPr>
            <w:r>
              <w:rPr>
                <w:rFonts w:ascii="Arial" w:cs="Arial" w:eastAsia="Arial" w:hAnsi="Arial"/>
                <w:sz w:val="14"/>
                <w:szCs w:val="14"/>
                <w:b w:val="1"/>
                <w:bCs w:val="1"/>
                <w:color w:val="0033A0"/>
                <w:w w:val="99"/>
              </w:rPr>
              <w:t>Merit Increase</w:t>
            </w:r>
          </w:p>
        </w:tc>
        <w:tc>
          <w:tcPr>
            <w:tcW w:w="320" w:type="dxa"/>
            <w:vAlign w:val="bottom"/>
            <w:tcBorders>
              <w:bottom w:val="single" w:sz="8" w:color="BFBFBF"/>
            </w:tcBorders>
            <w:shd w:val="clear" w:color="auto" w:fill="E6E6E6"/>
          </w:tcPr>
          <w:p>
            <w:pPr>
              <w:spacing w:after="0"/>
              <w:rPr>
                <w:sz w:val="15"/>
                <w:szCs w:val="15"/>
                <w:color w:val="auto"/>
              </w:rPr>
            </w:pPr>
          </w:p>
        </w:tc>
        <w:tc>
          <w:tcPr>
            <w:tcW w:w="1280" w:type="dxa"/>
            <w:vAlign w:val="bottom"/>
            <w:tcBorders>
              <w:bottom w:val="single" w:sz="8" w:color="BFBFBF"/>
            </w:tcBorders>
            <w:shd w:val="clear" w:color="auto" w:fill="E6E6E6"/>
          </w:tcPr>
          <w:p>
            <w:pPr>
              <w:jc w:val="right"/>
              <w:ind w:right="441"/>
              <w:spacing w:after="0"/>
              <w:rPr>
                <w:sz w:val="20"/>
                <w:szCs w:val="20"/>
                <w:color w:val="auto"/>
              </w:rPr>
            </w:pPr>
            <w:r>
              <w:rPr>
                <w:rFonts w:ascii="Arial" w:cs="Arial" w:eastAsia="Arial" w:hAnsi="Arial"/>
                <w:sz w:val="14"/>
                <w:szCs w:val="14"/>
                <w:b w:val="1"/>
                <w:bCs w:val="1"/>
                <w:color w:val="0033A0"/>
              </w:rPr>
              <w:t>Reduction</w:t>
            </w:r>
          </w:p>
        </w:tc>
        <w:tc>
          <w:tcPr>
            <w:tcW w:w="420" w:type="dxa"/>
            <w:vAlign w:val="bottom"/>
            <w:tcBorders>
              <w:bottom w:val="single" w:sz="8" w:color="BFBFBF"/>
            </w:tcBorders>
            <w:shd w:val="clear" w:color="auto" w:fill="E6E6E6"/>
          </w:tcPr>
          <w:p>
            <w:pPr>
              <w:spacing w:after="0"/>
              <w:rPr>
                <w:sz w:val="15"/>
                <w:szCs w:val="15"/>
                <w:color w:val="auto"/>
              </w:rPr>
            </w:pPr>
          </w:p>
        </w:tc>
        <w:tc>
          <w:tcPr>
            <w:tcW w:w="1180" w:type="dxa"/>
            <w:vAlign w:val="bottom"/>
            <w:tcBorders>
              <w:bottom w:val="single" w:sz="8" w:color="BFBFBF"/>
            </w:tcBorders>
            <w:shd w:val="clear" w:color="auto" w:fill="E6E6E6"/>
          </w:tcPr>
          <w:p>
            <w:pPr>
              <w:jc w:val="center"/>
              <w:ind w:right="381"/>
              <w:spacing w:after="0"/>
              <w:rPr>
                <w:sz w:val="20"/>
                <w:szCs w:val="20"/>
                <w:color w:val="auto"/>
              </w:rPr>
            </w:pPr>
            <w:r>
              <w:rPr>
                <w:rFonts w:ascii="Arial" w:cs="Arial" w:eastAsia="Arial" w:hAnsi="Arial"/>
                <w:sz w:val="14"/>
                <w:szCs w:val="14"/>
                <w:b w:val="1"/>
                <w:bCs w:val="1"/>
                <w:color w:val="0033A0"/>
                <w:w w:val="89"/>
              </w:rPr>
              <w:t>2020</w:t>
            </w:r>
          </w:p>
        </w:tc>
        <w:tc>
          <w:tcPr>
            <w:tcW w:w="0" w:type="dxa"/>
            <w:vAlign w:val="bottom"/>
          </w:tcPr>
          <w:p>
            <w:pPr>
              <w:spacing w:after="0"/>
              <w:rPr>
                <w:sz w:val="1"/>
                <w:szCs w:val="1"/>
                <w:color w:val="auto"/>
              </w:rPr>
            </w:pPr>
          </w:p>
        </w:tc>
      </w:tr>
      <w:tr>
        <w:trPr>
          <w:trHeight w:val="229"/>
        </w:trPr>
        <w:tc>
          <w:tcPr>
            <w:tcW w:w="14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4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1,000,000</w:t>
            </w:r>
          </w:p>
        </w:tc>
        <w:tc>
          <w:tcPr>
            <w:tcW w:w="580" w:type="dxa"/>
            <w:vAlign w:val="bottom"/>
            <w:tcBorders>
              <w:bottom w:val="single" w:sz="8" w:color="BFBFBF"/>
            </w:tcBorders>
          </w:tcPr>
          <w:p>
            <w:pPr>
              <w:jc w:val="right"/>
              <w:ind w:right="2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200,000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61"/>
              <w:spacing w:after="0"/>
              <w:rPr>
                <w:sz w:val="20"/>
                <w:szCs w:val="20"/>
                <w:color w:val="auto"/>
              </w:rPr>
            </w:pPr>
            <w:r>
              <w:rPr>
                <w:rFonts w:ascii="Arial" w:cs="Arial" w:eastAsia="Arial" w:hAnsi="Arial"/>
                <w:sz w:val="16"/>
                <w:szCs w:val="16"/>
                <w:color w:val="auto"/>
              </w:rPr>
              <w:t>1,200,000</w:t>
            </w:r>
          </w:p>
        </w:tc>
        <w:tc>
          <w:tcPr>
            <w:tcW w:w="280" w:type="dxa"/>
            <w:vAlign w:val="bottom"/>
            <w:tcBorders>
              <w:bottom w:val="single" w:sz="8" w:color="BFBFBF"/>
            </w:tcBorders>
          </w:tcPr>
          <w:p>
            <w:pPr>
              <w:jc w:val="right"/>
              <w:ind w:right="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21"/>
              <w:spacing w:after="0"/>
              <w:rPr>
                <w:sz w:val="20"/>
                <w:szCs w:val="20"/>
                <w:color w:val="auto"/>
              </w:rPr>
            </w:pPr>
            <w:r>
              <w:rPr>
                <w:rFonts w:ascii="Arial" w:cs="Arial" w:eastAsia="Arial" w:hAnsi="Arial"/>
                <w:sz w:val="16"/>
                <w:szCs w:val="16"/>
                <w:color w:val="auto"/>
              </w:rPr>
              <w:t>(200,000)</w:t>
            </w:r>
          </w:p>
        </w:tc>
        <w:tc>
          <w:tcPr>
            <w:tcW w:w="32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tcPr>
          <w:p>
            <w:pPr>
              <w:jc w:val="right"/>
              <w:ind w:right="21"/>
              <w:spacing w:after="0"/>
              <w:rPr>
                <w:sz w:val="20"/>
                <w:szCs w:val="20"/>
                <w:color w:val="auto"/>
              </w:rPr>
            </w:pPr>
            <w:r>
              <w:rPr>
                <w:rFonts w:ascii="Arial" w:cs="Arial" w:eastAsia="Arial" w:hAnsi="Arial"/>
                <w:sz w:val="16"/>
                <w:szCs w:val="16"/>
                <w:color w:val="auto"/>
              </w:rPr>
              <w:t>(150,000)</w:t>
            </w:r>
          </w:p>
        </w:tc>
        <w:tc>
          <w:tcPr>
            <w:tcW w:w="420" w:type="dxa"/>
            <w:vAlign w:val="bottom"/>
            <w:tcBorders>
              <w:bottom w:val="single" w:sz="8" w:color="BFBFBF"/>
            </w:tcBorders>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tcPr>
          <w:p>
            <w:pPr>
              <w:jc w:val="right"/>
              <w:ind w:right="61"/>
              <w:spacing w:after="0"/>
              <w:rPr>
                <w:sz w:val="20"/>
                <w:szCs w:val="20"/>
                <w:color w:val="auto"/>
              </w:rPr>
            </w:pPr>
            <w:r>
              <w:rPr>
                <w:rFonts w:ascii="Arial" w:cs="Arial" w:eastAsia="Arial" w:hAnsi="Arial"/>
                <w:sz w:val="16"/>
                <w:szCs w:val="16"/>
                <w:color w:val="auto"/>
              </w:rPr>
              <w:t>850,000</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Ms. Knutson</w:t>
            </w:r>
          </w:p>
        </w:tc>
        <w:tc>
          <w:tcPr>
            <w:tcW w:w="40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BFBF"/>
            </w:tcBorders>
            <w:shd w:val="clear" w:color="auto" w:fill="F2F2F2"/>
          </w:tcPr>
          <w:p>
            <w:pPr>
              <w:jc w:val="right"/>
              <w:ind w:right="41"/>
              <w:spacing w:after="0"/>
              <w:rPr>
                <w:sz w:val="20"/>
                <w:szCs w:val="20"/>
                <w:color w:val="auto"/>
              </w:rPr>
            </w:pPr>
            <w:r>
              <w:rPr>
                <w:rFonts w:ascii="Arial" w:cs="Arial" w:eastAsia="Arial" w:hAnsi="Arial"/>
                <w:sz w:val="16"/>
                <w:szCs w:val="16"/>
                <w:color w:val="auto"/>
              </w:rPr>
              <w:t>600,000</w:t>
            </w:r>
          </w:p>
        </w:tc>
        <w:tc>
          <w:tcPr>
            <w:tcW w:w="580" w:type="dxa"/>
            <w:vAlign w:val="bottom"/>
            <w:tcBorders>
              <w:bottom w:val="single" w:sz="8" w:color="BFBFBF"/>
            </w:tcBorders>
            <w:shd w:val="clear" w:color="auto" w:fill="F2F2F2"/>
          </w:tcPr>
          <w:p>
            <w:pPr>
              <w:jc w:val="right"/>
              <w:ind w:right="2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shd w:val="clear" w:color="auto" w:fill="F2F2F2"/>
          </w:tcPr>
          <w:p>
            <w:pPr>
              <w:jc w:val="right"/>
              <w:ind w:right="59"/>
              <w:spacing w:after="0"/>
              <w:rPr>
                <w:sz w:val="20"/>
                <w:szCs w:val="20"/>
                <w:color w:val="auto"/>
              </w:rPr>
            </w:pPr>
            <w:r>
              <w:rPr>
                <w:rFonts w:ascii="Arial" w:cs="Arial" w:eastAsia="Arial" w:hAnsi="Arial"/>
                <w:sz w:val="16"/>
                <w:szCs w:val="16"/>
                <w:color w:val="auto"/>
              </w:rPr>
              <w:t>50,000</w:t>
            </w:r>
          </w:p>
        </w:tc>
        <w:tc>
          <w:tcPr>
            <w:tcW w:w="24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shd w:val="clear" w:color="auto" w:fill="F2F2F2"/>
          </w:tcPr>
          <w:p>
            <w:pPr>
              <w:jc w:val="right"/>
              <w:ind w:right="61"/>
              <w:spacing w:after="0"/>
              <w:rPr>
                <w:sz w:val="20"/>
                <w:szCs w:val="20"/>
                <w:color w:val="auto"/>
              </w:rPr>
            </w:pPr>
            <w:r>
              <w:rPr>
                <w:rFonts w:ascii="Arial" w:cs="Arial" w:eastAsia="Arial" w:hAnsi="Arial"/>
                <w:sz w:val="16"/>
                <w:szCs w:val="16"/>
                <w:color w:val="auto"/>
              </w:rPr>
              <w:t>650,000</w:t>
            </w:r>
          </w:p>
        </w:tc>
        <w:tc>
          <w:tcPr>
            <w:tcW w:w="280" w:type="dxa"/>
            <w:vAlign w:val="bottom"/>
            <w:tcBorders>
              <w:bottom w:val="single" w:sz="8" w:color="BFBFBF"/>
            </w:tcBorders>
            <w:shd w:val="clear" w:color="auto" w:fill="F2F2F2"/>
          </w:tcPr>
          <w:p>
            <w:pPr>
              <w:jc w:val="right"/>
              <w:ind w:right="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shd w:val="clear" w:color="auto" w:fill="F2F2F2"/>
          </w:tcPr>
          <w:p>
            <w:pPr>
              <w:jc w:val="right"/>
              <w:ind w:right="21"/>
              <w:spacing w:after="0"/>
              <w:rPr>
                <w:sz w:val="20"/>
                <w:szCs w:val="20"/>
                <w:color w:val="auto"/>
              </w:rPr>
            </w:pPr>
            <w:r>
              <w:rPr>
                <w:rFonts w:ascii="Arial" w:cs="Arial" w:eastAsia="Arial" w:hAnsi="Arial"/>
                <w:sz w:val="16"/>
                <w:szCs w:val="16"/>
                <w:color w:val="auto"/>
              </w:rPr>
              <w:t>(50,000)</w:t>
            </w:r>
          </w:p>
        </w:tc>
        <w:tc>
          <w:tcPr>
            <w:tcW w:w="320" w:type="dxa"/>
            <w:vAlign w:val="bottom"/>
            <w:tcBorders>
              <w:bottom w:val="single" w:sz="8" w:color="BFBFBF"/>
            </w:tcBorders>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2F2F2"/>
          </w:tcPr>
          <w:p>
            <w:pPr>
              <w:jc w:val="right"/>
              <w:ind w:right="21"/>
              <w:spacing w:after="0"/>
              <w:rPr>
                <w:sz w:val="20"/>
                <w:szCs w:val="20"/>
                <w:color w:val="auto"/>
              </w:rPr>
            </w:pPr>
            <w:r>
              <w:rPr>
                <w:rFonts w:ascii="Arial" w:cs="Arial" w:eastAsia="Arial" w:hAnsi="Arial"/>
                <w:sz w:val="16"/>
                <w:szCs w:val="16"/>
                <w:color w:val="auto"/>
              </w:rPr>
              <w:t>(60,000)</w:t>
            </w:r>
          </w:p>
        </w:tc>
        <w:tc>
          <w:tcPr>
            <w:tcW w:w="420" w:type="dxa"/>
            <w:vAlign w:val="bottom"/>
            <w:tcBorders>
              <w:bottom w:val="single" w:sz="8" w:color="BFBFBF"/>
            </w:tcBorders>
            <w:shd w:val="clear" w:color="auto" w:fill="F2F2F2"/>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shd w:val="clear" w:color="auto" w:fill="F2F2F2"/>
          </w:tcPr>
          <w:p>
            <w:pPr>
              <w:jc w:val="right"/>
              <w:ind w:right="61"/>
              <w:spacing w:after="0"/>
              <w:rPr>
                <w:sz w:val="20"/>
                <w:szCs w:val="20"/>
                <w:color w:val="auto"/>
              </w:rPr>
            </w:pPr>
            <w:r>
              <w:rPr>
                <w:rFonts w:ascii="Arial" w:cs="Arial" w:eastAsia="Arial" w:hAnsi="Arial"/>
                <w:sz w:val="16"/>
                <w:szCs w:val="16"/>
                <w:color w:val="auto"/>
              </w:rPr>
              <w:t>540,000</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4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676,500</w:t>
            </w:r>
          </w:p>
        </w:tc>
        <w:tc>
          <w:tcPr>
            <w:tcW w:w="580" w:type="dxa"/>
            <w:vAlign w:val="bottom"/>
            <w:tcBorders>
              <w:bottom w:val="single" w:sz="8" w:color="BFBFBF"/>
            </w:tcBorders>
          </w:tcPr>
          <w:p>
            <w:pPr>
              <w:jc w:val="right"/>
              <w:ind w:right="2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23,500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61"/>
              <w:spacing w:after="0"/>
              <w:rPr>
                <w:sz w:val="20"/>
                <w:szCs w:val="20"/>
                <w:color w:val="auto"/>
              </w:rPr>
            </w:pPr>
            <w:r>
              <w:rPr>
                <w:rFonts w:ascii="Arial" w:cs="Arial" w:eastAsia="Arial" w:hAnsi="Arial"/>
                <w:sz w:val="16"/>
                <w:szCs w:val="16"/>
                <w:color w:val="auto"/>
              </w:rPr>
              <w:t>700,000</w:t>
            </w:r>
          </w:p>
        </w:tc>
        <w:tc>
          <w:tcPr>
            <w:tcW w:w="280" w:type="dxa"/>
            <w:vAlign w:val="bottom"/>
            <w:tcBorders>
              <w:bottom w:val="single" w:sz="8" w:color="BFBFBF"/>
            </w:tcBorders>
          </w:tcPr>
          <w:p>
            <w:pPr>
              <w:jc w:val="right"/>
              <w:ind w:right="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21"/>
              <w:spacing w:after="0"/>
              <w:rPr>
                <w:sz w:val="20"/>
                <w:szCs w:val="20"/>
                <w:color w:val="auto"/>
              </w:rPr>
            </w:pPr>
            <w:r>
              <w:rPr>
                <w:rFonts w:ascii="Arial" w:cs="Arial" w:eastAsia="Arial" w:hAnsi="Arial"/>
                <w:sz w:val="16"/>
                <w:szCs w:val="16"/>
                <w:color w:val="auto"/>
              </w:rPr>
              <w:t>(23,500)</w:t>
            </w:r>
          </w:p>
        </w:tc>
        <w:tc>
          <w:tcPr>
            <w:tcW w:w="32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tcPr>
          <w:p>
            <w:pPr>
              <w:jc w:val="right"/>
              <w:ind w:right="21"/>
              <w:spacing w:after="0"/>
              <w:rPr>
                <w:sz w:val="20"/>
                <w:szCs w:val="20"/>
                <w:color w:val="auto"/>
              </w:rPr>
            </w:pPr>
            <w:r>
              <w:rPr>
                <w:rFonts w:ascii="Arial" w:cs="Arial" w:eastAsia="Arial" w:hAnsi="Arial"/>
                <w:sz w:val="16"/>
                <w:szCs w:val="16"/>
                <w:color w:val="auto"/>
              </w:rPr>
              <w:t>(67,650)</w:t>
            </w:r>
          </w:p>
        </w:tc>
        <w:tc>
          <w:tcPr>
            <w:tcW w:w="420" w:type="dxa"/>
            <w:vAlign w:val="bottom"/>
            <w:tcBorders>
              <w:bottom w:val="single" w:sz="8" w:color="BFBFBF"/>
            </w:tcBorders>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tcPr>
          <w:p>
            <w:pPr>
              <w:jc w:val="right"/>
              <w:ind w:right="61"/>
              <w:spacing w:after="0"/>
              <w:rPr>
                <w:sz w:val="20"/>
                <w:szCs w:val="20"/>
                <w:color w:val="auto"/>
              </w:rPr>
            </w:pPr>
            <w:r>
              <w:rPr>
                <w:rFonts w:ascii="Arial" w:cs="Arial" w:eastAsia="Arial" w:hAnsi="Arial"/>
                <w:sz w:val="16"/>
                <w:szCs w:val="16"/>
                <w:color w:val="auto"/>
              </w:rPr>
              <w:t>608,850</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Mr. Appleton</w:t>
            </w:r>
          </w:p>
        </w:tc>
        <w:tc>
          <w:tcPr>
            <w:tcW w:w="40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BFBF"/>
            </w:tcBorders>
            <w:shd w:val="clear" w:color="auto" w:fill="F2F2F2"/>
          </w:tcPr>
          <w:p>
            <w:pPr>
              <w:jc w:val="right"/>
              <w:ind w:right="41"/>
              <w:spacing w:after="0"/>
              <w:rPr>
                <w:sz w:val="20"/>
                <w:szCs w:val="20"/>
                <w:color w:val="auto"/>
              </w:rPr>
            </w:pPr>
            <w:r>
              <w:rPr>
                <w:rFonts w:ascii="Arial" w:cs="Arial" w:eastAsia="Arial" w:hAnsi="Arial"/>
                <w:sz w:val="16"/>
                <w:szCs w:val="16"/>
                <w:color w:val="auto"/>
              </w:rPr>
              <w:t>494,000</w:t>
            </w:r>
          </w:p>
        </w:tc>
        <w:tc>
          <w:tcPr>
            <w:tcW w:w="580" w:type="dxa"/>
            <w:vAlign w:val="bottom"/>
            <w:tcBorders>
              <w:bottom w:val="single" w:sz="8" w:color="BFBFBF"/>
            </w:tcBorders>
            <w:shd w:val="clear" w:color="auto" w:fill="F2F2F2"/>
          </w:tcPr>
          <w:p>
            <w:pPr>
              <w:jc w:val="right"/>
              <w:ind w:right="2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shd w:val="clear" w:color="auto" w:fill="F2F2F2"/>
          </w:tcPr>
          <w:p>
            <w:pPr>
              <w:jc w:val="right"/>
              <w:ind w:right="59"/>
              <w:spacing w:after="0"/>
              <w:rPr>
                <w:sz w:val="20"/>
                <w:szCs w:val="20"/>
                <w:color w:val="auto"/>
              </w:rPr>
            </w:pPr>
            <w:r>
              <w:rPr>
                <w:rFonts w:ascii="Arial" w:cs="Arial" w:eastAsia="Arial" w:hAnsi="Arial"/>
                <w:sz w:val="16"/>
                <w:szCs w:val="16"/>
                <w:color w:val="auto"/>
              </w:rPr>
              <w:t>15,000</w:t>
            </w:r>
          </w:p>
        </w:tc>
        <w:tc>
          <w:tcPr>
            <w:tcW w:w="24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shd w:val="clear" w:color="auto" w:fill="F2F2F2"/>
          </w:tcPr>
          <w:p>
            <w:pPr>
              <w:jc w:val="right"/>
              <w:ind w:right="61"/>
              <w:spacing w:after="0"/>
              <w:rPr>
                <w:sz w:val="20"/>
                <w:szCs w:val="20"/>
                <w:color w:val="auto"/>
              </w:rPr>
            </w:pPr>
            <w:r>
              <w:rPr>
                <w:rFonts w:ascii="Arial" w:cs="Arial" w:eastAsia="Arial" w:hAnsi="Arial"/>
                <w:sz w:val="16"/>
                <w:szCs w:val="16"/>
                <w:color w:val="auto"/>
              </w:rPr>
              <w:t>509,000</w:t>
            </w:r>
          </w:p>
        </w:tc>
        <w:tc>
          <w:tcPr>
            <w:tcW w:w="280" w:type="dxa"/>
            <w:vAlign w:val="bottom"/>
            <w:tcBorders>
              <w:bottom w:val="single" w:sz="8" w:color="BFBFBF"/>
            </w:tcBorders>
            <w:shd w:val="clear" w:color="auto" w:fill="F2F2F2"/>
          </w:tcPr>
          <w:p>
            <w:pPr>
              <w:jc w:val="right"/>
              <w:ind w:right="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shd w:val="clear" w:color="auto" w:fill="F2F2F2"/>
          </w:tcPr>
          <w:p>
            <w:pPr>
              <w:jc w:val="right"/>
              <w:ind w:right="21"/>
              <w:spacing w:after="0"/>
              <w:rPr>
                <w:sz w:val="20"/>
                <w:szCs w:val="20"/>
                <w:color w:val="auto"/>
              </w:rPr>
            </w:pPr>
            <w:r>
              <w:rPr>
                <w:rFonts w:ascii="Arial" w:cs="Arial" w:eastAsia="Arial" w:hAnsi="Arial"/>
                <w:sz w:val="16"/>
                <w:szCs w:val="16"/>
                <w:color w:val="auto"/>
              </w:rPr>
              <w:t>(15,000)</w:t>
            </w:r>
          </w:p>
        </w:tc>
        <w:tc>
          <w:tcPr>
            <w:tcW w:w="320" w:type="dxa"/>
            <w:vAlign w:val="bottom"/>
            <w:tcBorders>
              <w:bottom w:val="single" w:sz="8" w:color="BFBFBF"/>
            </w:tcBorders>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2F2F2"/>
          </w:tcPr>
          <w:p>
            <w:pPr>
              <w:jc w:val="right"/>
              <w:ind w:right="21"/>
              <w:spacing w:after="0"/>
              <w:rPr>
                <w:sz w:val="20"/>
                <w:szCs w:val="20"/>
                <w:color w:val="auto"/>
              </w:rPr>
            </w:pPr>
            <w:r>
              <w:rPr>
                <w:rFonts w:ascii="Arial" w:cs="Arial" w:eastAsia="Arial" w:hAnsi="Arial"/>
                <w:sz w:val="16"/>
                <w:szCs w:val="16"/>
                <w:color w:val="auto"/>
              </w:rPr>
              <w:t>(49,400)</w:t>
            </w:r>
          </w:p>
        </w:tc>
        <w:tc>
          <w:tcPr>
            <w:tcW w:w="420" w:type="dxa"/>
            <w:vAlign w:val="bottom"/>
            <w:tcBorders>
              <w:bottom w:val="single" w:sz="8" w:color="BFBFBF"/>
            </w:tcBorders>
            <w:shd w:val="clear" w:color="auto" w:fill="F2F2F2"/>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shd w:val="clear" w:color="auto" w:fill="F2F2F2"/>
          </w:tcPr>
          <w:p>
            <w:pPr>
              <w:jc w:val="right"/>
              <w:ind w:right="61"/>
              <w:spacing w:after="0"/>
              <w:rPr>
                <w:sz w:val="20"/>
                <w:szCs w:val="20"/>
                <w:color w:val="auto"/>
              </w:rPr>
            </w:pPr>
            <w:r>
              <w:rPr>
                <w:rFonts w:ascii="Arial" w:cs="Arial" w:eastAsia="Arial" w:hAnsi="Arial"/>
                <w:sz w:val="16"/>
                <w:szCs w:val="16"/>
                <w:color w:val="auto"/>
              </w:rPr>
              <w:t>444,600</w:t>
            </w:r>
          </w:p>
        </w:tc>
        <w:tc>
          <w:tcPr>
            <w:tcW w:w="0" w:type="dxa"/>
            <w:vAlign w:val="bottom"/>
          </w:tcPr>
          <w:p>
            <w:pPr>
              <w:spacing w:after="0"/>
              <w:rPr>
                <w:sz w:val="1"/>
                <w:szCs w:val="1"/>
                <w:color w:val="auto"/>
              </w:rPr>
            </w:pPr>
          </w:p>
        </w:tc>
      </w:tr>
      <w:tr>
        <w:trPr>
          <w:trHeight w:val="230"/>
        </w:trPr>
        <w:tc>
          <w:tcPr>
            <w:tcW w:w="14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4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360,000</w:t>
            </w:r>
          </w:p>
        </w:tc>
        <w:tc>
          <w:tcPr>
            <w:tcW w:w="580" w:type="dxa"/>
            <w:vAlign w:val="bottom"/>
            <w:tcBorders>
              <w:bottom w:val="single" w:sz="8" w:color="BFBFBF"/>
            </w:tcBorders>
          </w:tcPr>
          <w:p>
            <w:pPr>
              <w:spacing w:after="0"/>
              <w:rPr>
                <w:sz w:val="20"/>
                <w:szCs w:val="20"/>
                <w:color w:val="auto"/>
              </w:rPr>
            </w:pPr>
          </w:p>
        </w:tc>
        <w:tc>
          <w:tcPr>
            <w:tcW w:w="102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61"/>
              <w:spacing w:after="0"/>
              <w:rPr>
                <w:sz w:val="20"/>
                <w:szCs w:val="20"/>
                <w:color w:val="auto"/>
              </w:rPr>
            </w:pPr>
            <w:r>
              <w:rPr>
                <w:rFonts w:ascii="Arial" w:cs="Arial" w:eastAsia="Arial" w:hAnsi="Arial"/>
                <w:sz w:val="16"/>
                <w:szCs w:val="16"/>
                <w:color w:val="auto"/>
              </w:rPr>
              <w:t>360,000</w:t>
            </w:r>
          </w:p>
        </w:tc>
        <w:tc>
          <w:tcPr>
            <w:tcW w:w="280" w:type="dxa"/>
            <w:vAlign w:val="bottom"/>
            <w:tcBorders>
              <w:bottom w:val="single" w:sz="8" w:color="BFBFBF"/>
            </w:tcBorders>
          </w:tcPr>
          <w:p>
            <w:pPr>
              <w:spacing w:after="0"/>
              <w:rPr>
                <w:sz w:val="20"/>
                <w:szCs w:val="20"/>
                <w:color w:val="auto"/>
              </w:rPr>
            </w:pPr>
          </w:p>
        </w:tc>
        <w:tc>
          <w:tcPr>
            <w:tcW w:w="1360" w:type="dxa"/>
            <w:vAlign w:val="bottom"/>
            <w:tcBorders>
              <w:bottom w:val="single" w:sz="8" w:color="BFBFBF"/>
            </w:tcBorders>
          </w:tcPr>
          <w:p>
            <w:pPr>
              <w:jc w:val="right"/>
              <w:ind w:right="10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tcPr>
          <w:p>
            <w:pPr>
              <w:jc w:val="right"/>
              <w:ind w:right="21"/>
              <w:spacing w:after="0"/>
              <w:rPr>
                <w:sz w:val="20"/>
                <w:szCs w:val="20"/>
                <w:color w:val="auto"/>
              </w:rPr>
            </w:pPr>
            <w:r>
              <w:rPr>
                <w:rFonts w:ascii="Arial" w:cs="Arial" w:eastAsia="Arial" w:hAnsi="Arial"/>
                <w:sz w:val="16"/>
                <w:szCs w:val="16"/>
                <w:color w:val="auto"/>
              </w:rPr>
              <w:t>(36,000)</w:t>
            </w:r>
          </w:p>
        </w:tc>
        <w:tc>
          <w:tcPr>
            <w:tcW w:w="420" w:type="dxa"/>
            <w:vAlign w:val="bottom"/>
            <w:tcBorders>
              <w:bottom w:val="single" w:sz="8" w:color="BFBFBF"/>
            </w:tcBorders>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tcPr>
          <w:p>
            <w:pPr>
              <w:jc w:val="right"/>
              <w:ind w:right="61"/>
              <w:spacing w:after="0"/>
              <w:rPr>
                <w:sz w:val="20"/>
                <w:szCs w:val="20"/>
                <w:color w:val="auto"/>
              </w:rPr>
            </w:pPr>
            <w:r>
              <w:rPr>
                <w:rFonts w:ascii="Arial" w:cs="Arial" w:eastAsia="Arial" w:hAnsi="Arial"/>
                <w:sz w:val="16"/>
                <w:szCs w:val="16"/>
                <w:color w:val="auto"/>
              </w:rPr>
              <w:t>324,000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merit increases and salary cuts described above were restored, on a prospective basis, effective as of January 1, 2021.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Short-Term Incentive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 short-term incentive program, under which our named executive officers are eligible to receive annual cash payments based on the extent to which certain operational goals are achieved.</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annual performance review process in February 2020, the Committee did not make any changes to the STI opportunities for the named executive officers, other than Mr. Symson, who received an increase from 90% to 100% of his base salary. The target STI opportunities, expressed as a percentage of annual base salary,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20" w:type="dxa"/>
            <w:vAlign w:val="bottom"/>
            <w:tcBorders>
              <w:top w:val="single" w:sz="8" w:color="BFBFBF"/>
            </w:tcBorders>
            <w:vMerge w:val="restart"/>
            <w:shd w:val="clear" w:color="auto" w:fill="E6E6E6"/>
          </w:tcPr>
          <w:p>
            <w:pPr>
              <w:ind w:left="140"/>
              <w:spacing w:after="0"/>
              <w:rPr>
                <w:sz w:val="20"/>
                <w:szCs w:val="20"/>
                <w:color w:val="auto"/>
              </w:rPr>
            </w:pPr>
            <w:r>
              <w:rPr>
                <w:rFonts w:ascii="Arial" w:cs="Arial" w:eastAsia="Arial" w:hAnsi="Arial"/>
                <w:sz w:val="14"/>
                <w:szCs w:val="14"/>
                <w:b w:val="1"/>
                <w:bCs w:val="1"/>
                <w:color w:val="0033A0"/>
              </w:rPr>
              <w:t>Name</w:t>
            </w:r>
          </w:p>
        </w:tc>
        <w:tc>
          <w:tcPr>
            <w:tcW w:w="5920" w:type="dxa"/>
            <w:vAlign w:val="bottom"/>
            <w:tcBorders>
              <w:top w:val="single" w:sz="8" w:color="BFBFBF"/>
            </w:tcBorders>
            <w:shd w:val="clear" w:color="auto" w:fill="E6E6E6"/>
          </w:tcPr>
          <w:p>
            <w:pPr>
              <w:jc w:val="right"/>
              <w:ind w:right="402"/>
              <w:spacing w:after="0"/>
              <w:rPr>
                <w:sz w:val="20"/>
                <w:szCs w:val="20"/>
                <w:color w:val="auto"/>
              </w:rPr>
            </w:pPr>
            <w:r>
              <w:rPr>
                <w:rFonts w:ascii="Arial" w:cs="Arial" w:eastAsia="Arial" w:hAnsi="Arial"/>
                <w:sz w:val="14"/>
                <w:szCs w:val="14"/>
                <w:b w:val="1"/>
                <w:bCs w:val="1"/>
                <w:color w:val="0033A0"/>
              </w:rPr>
              <w:t>Target Opportunity</w:t>
            </w:r>
          </w:p>
        </w:tc>
        <w:tc>
          <w:tcPr>
            <w:tcW w:w="0" w:type="dxa"/>
            <w:vAlign w:val="bottom"/>
          </w:tcPr>
          <w:p>
            <w:pPr>
              <w:spacing w:after="0"/>
              <w:rPr>
                <w:sz w:val="1"/>
                <w:szCs w:val="1"/>
                <w:color w:val="auto"/>
              </w:rPr>
            </w:pPr>
          </w:p>
        </w:tc>
      </w:tr>
      <w:tr>
        <w:trPr>
          <w:trHeight w:val="178"/>
        </w:trPr>
        <w:tc>
          <w:tcPr>
            <w:tcW w:w="5320" w:type="dxa"/>
            <w:vAlign w:val="bottom"/>
            <w:tcBorders>
              <w:bottom w:val="single" w:sz="8" w:color="BFBFBF"/>
            </w:tcBorders>
            <w:vMerge w:val="continue"/>
            <w:shd w:val="clear" w:color="auto" w:fill="E6E6E6"/>
          </w:tcPr>
          <w:p>
            <w:pPr>
              <w:spacing w:after="0"/>
              <w:rPr>
                <w:sz w:val="15"/>
                <w:szCs w:val="15"/>
                <w:color w:val="auto"/>
              </w:rPr>
            </w:pPr>
          </w:p>
        </w:tc>
        <w:tc>
          <w:tcPr>
            <w:tcW w:w="5920" w:type="dxa"/>
            <w:vAlign w:val="bottom"/>
            <w:tcBorders>
              <w:bottom w:val="single" w:sz="8" w:color="BFBFBF"/>
            </w:tcBorders>
            <w:shd w:val="clear" w:color="auto" w:fill="E6E6E6"/>
          </w:tcPr>
          <w:p>
            <w:pPr>
              <w:jc w:val="right"/>
              <w:ind w:right="362"/>
              <w:spacing w:after="0"/>
              <w:rPr>
                <w:sz w:val="20"/>
                <w:szCs w:val="20"/>
                <w:color w:val="auto"/>
              </w:rPr>
            </w:pPr>
            <w:r>
              <w:rPr>
                <w:rFonts w:ascii="Arial" w:cs="Arial" w:eastAsia="Arial" w:hAnsi="Arial"/>
                <w:sz w:val="14"/>
                <w:szCs w:val="14"/>
                <w:b w:val="1"/>
                <w:bCs w:val="1"/>
                <w:color w:val="0033A0"/>
              </w:rPr>
              <w:t>(as % of Base Salary)</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59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Ms. Knutson</w:t>
            </w:r>
          </w:p>
        </w:tc>
        <w:tc>
          <w:tcPr>
            <w:tcW w:w="592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59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Mr. Appleton</w:t>
            </w:r>
          </w:p>
        </w:tc>
        <w:tc>
          <w:tcPr>
            <w:tcW w:w="592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59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8"/>
        <w:spacing w:after="0" w:line="277" w:lineRule="auto"/>
        <w:tabs>
          <w:tab w:leader="none" w:pos="1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purposes of the short-term incentive program only, base salary was calculated without regard to the waiver of the 2020 merit increase and the additional voluntary salary reductions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34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jc w:val="both"/>
        <w:ind w:right="40"/>
        <w:spacing w:after="0" w:line="277" w:lineRule="auto"/>
        <w:rPr>
          <w:sz w:val="20"/>
          <w:szCs w:val="20"/>
          <w:color w:val="auto"/>
        </w:rPr>
      </w:pPr>
      <w:r>
        <w:rPr>
          <w:rFonts w:ascii="Arial" w:cs="Arial" w:eastAsia="Arial" w:hAnsi="Arial"/>
          <w:sz w:val="18"/>
          <w:szCs w:val="18"/>
          <w:color w:val="auto"/>
        </w:rPr>
        <w:t>In February 2020, the Committee established an STI program for the year for the named executive officers. This program was based on the free cash flow and revenue goals set forth in our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117475</wp:posOffset>
            </wp:positionV>
            <wp:extent cx="5846445" cy="29317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4644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*Ms. Tomlin’s STI opportunity is based on 50% Free Cash Flow and 50% Revenue.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2020 STI program payouts for the performance period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168910</wp:posOffset>
            </wp:positionV>
            <wp:extent cx="5846445" cy="8401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4644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free cash flow and revenue targets depend in part on anticipated advertising levels for the year. Advertising revenues increase significantly during even-numbered years when local, state and federal elections occur. In addition, every four years, political spending typically is elevated due to the presidential election. Because of these political election cycles, we usually see a significant difference in our operating results when comparing performance in even-numbered years to odd-numbered years.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Consistent with past practice, our free cash flow and revenue targets for 2020 (an even-numbered year) were set above actual results for 2019 (an odd-numbered year) to reflect the nature of political spending.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free cash flow and revenue targets for 2020 and the related achievement levels.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0" w:type="dxa"/>
            <w:vAlign w:val="bottom"/>
            <w:tcBorders>
              <w:top w:val="single" w:sz="8" w:color="BFBFBF"/>
            </w:tcBorders>
            <w:shd w:val="clear" w:color="auto" w:fill="E6E6E6"/>
          </w:tcPr>
          <w:p>
            <w:pPr>
              <w:ind w:left="140"/>
              <w:spacing w:after="0"/>
              <w:rPr>
                <w:sz w:val="20"/>
                <w:szCs w:val="20"/>
                <w:color w:val="auto"/>
              </w:rPr>
            </w:pPr>
            <w:r>
              <w:rPr>
                <w:rFonts w:ascii="Arial" w:cs="Arial" w:eastAsia="Arial" w:hAnsi="Arial"/>
                <w:sz w:val="14"/>
                <w:szCs w:val="14"/>
                <w:b w:val="1"/>
                <w:bCs w:val="1"/>
                <w:color w:val="0033A0"/>
              </w:rPr>
              <w:t>Free Cash Flow*</w:t>
            </w:r>
          </w:p>
        </w:tc>
        <w:tc>
          <w:tcPr>
            <w:tcW w:w="1400" w:type="dxa"/>
            <w:vAlign w:val="bottom"/>
            <w:tcBorders>
              <w:top w:val="single" w:sz="8" w:color="BFBFBF"/>
            </w:tcBorders>
            <w:shd w:val="clear" w:color="auto" w:fill="E6E6E6"/>
          </w:tcPr>
          <w:p>
            <w:pPr>
              <w:spacing w:after="0"/>
              <w:rPr>
                <w:sz w:val="14"/>
                <w:szCs w:val="14"/>
                <w:color w:val="auto"/>
              </w:rPr>
            </w:pPr>
          </w:p>
        </w:tc>
        <w:tc>
          <w:tcPr>
            <w:tcW w:w="1060" w:type="dxa"/>
            <w:vAlign w:val="bottom"/>
            <w:tcBorders>
              <w:top w:val="single" w:sz="8" w:color="BFBFBF"/>
            </w:tcBorders>
            <w:shd w:val="clear" w:color="auto" w:fill="E6E6E6"/>
          </w:tcPr>
          <w:p>
            <w:pPr>
              <w:jc w:val="right"/>
              <w:ind w:right="232"/>
              <w:spacing w:after="0"/>
              <w:rPr>
                <w:sz w:val="20"/>
                <w:szCs w:val="20"/>
                <w:color w:val="auto"/>
              </w:rPr>
            </w:pPr>
            <w:r>
              <w:rPr>
                <w:rFonts w:ascii="Arial" w:cs="Arial" w:eastAsia="Arial" w:hAnsi="Arial"/>
                <w:sz w:val="14"/>
                <w:szCs w:val="14"/>
                <w:b w:val="1"/>
                <w:bCs w:val="1"/>
                <w:color w:val="0033A0"/>
              </w:rPr>
              <w:t>Threshold</w:t>
            </w:r>
          </w:p>
        </w:tc>
        <w:tc>
          <w:tcPr>
            <w:tcW w:w="320" w:type="dxa"/>
            <w:vAlign w:val="bottom"/>
            <w:tcBorders>
              <w:top w:val="single" w:sz="8" w:color="BFBFBF"/>
            </w:tcBorders>
            <w:shd w:val="clear" w:color="auto" w:fill="E6E6E6"/>
          </w:tcPr>
          <w:p>
            <w:pPr>
              <w:spacing w:after="0"/>
              <w:rPr>
                <w:sz w:val="14"/>
                <w:szCs w:val="14"/>
                <w:color w:val="auto"/>
              </w:rPr>
            </w:pPr>
          </w:p>
        </w:tc>
        <w:tc>
          <w:tcPr>
            <w:tcW w:w="960" w:type="dxa"/>
            <w:vAlign w:val="bottom"/>
            <w:tcBorders>
              <w:top w:val="single" w:sz="8" w:color="BFBFBF"/>
            </w:tcBorders>
            <w:shd w:val="clear" w:color="auto" w:fill="E6E6E6"/>
          </w:tcPr>
          <w:p>
            <w:pPr>
              <w:jc w:val="center"/>
              <w:ind w:right="244"/>
              <w:spacing w:after="0"/>
              <w:rPr>
                <w:sz w:val="20"/>
                <w:szCs w:val="20"/>
                <w:color w:val="auto"/>
              </w:rPr>
            </w:pPr>
            <w:r>
              <w:rPr>
                <w:rFonts w:ascii="Arial" w:cs="Arial" w:eastAsia="Arial" w:hAnsi="Arial"/>
                <w:sz w:val="14"/>
                <w:szCs w:val="14"/>
                <w:b w:val="1"/>
                <w:bCs w:val="1"/>
                <w:color w:val="0033A0"/>
                <w:w w:val="93"/>
              </w:rPr>
              <w:t>Target</w:t>
            </w:r>
          </w:p>
        </w:tc>
        <w:tc>
          <w:tcPr>
            <w:tcW w:w="240" w:type="dxa"/>
            <w:vAlign w:val="bottom"/>
            <w:tcBorders>
              <w:top w:val="single" w:sz="8" w:color="BFBFBF"/>
            </w:tcBorders>
            <w:shd w:val="clear" w:color="auto" w:fill="E6E6E6"/>
          </w:tcPr>
          <w:p>
            <w:pPr>
              <w:spacing w:after="0"/>
              <w:rPr>
                <w:sz w:val="14"/>
                <w:szCs w:val="14"/>
                <w:color w:val="auto"/>
              </w:rPr>
            </w:pPr>
          </w:p>
        </w:tc>
        <w:tc>
          <w:tcPr>
            <w:tcW w:w="1020" w:type="dxa"/>
            <w:vAlign w:val="bottom"/>
            <w:tcBorders>
              <w:top w:val="single" w:sz="8" w:color="BFBFBF"/>
            </w:tcBorders>
            <w:shd w:val="clear" w:color="auto" w:fill="E6E6E6"/>
          </w:tcPr>
          <w:p>
            <w:pPr>
              <w:jc w:val="center"/>
              <w:ind w:right="184"/>
              <w:spacing w:after="0"/>
              <w:rPr>
                <w:sz w:val="20"/>
                <w:szCs w:val="20"/>
                <w:color w:val="auto"/>
              </w:rPr>
            </w:pPr>
            <w:r>
              <w:rPr>
                <w:rFonts w:ascii="Arial" w:cs="Arial" w:eastAsia="Arial" w:hAnsi="Arial"/>
                <w:sz w:val="14"/>
                <w:szCs w:val="14"/>
                <w:b w:val="1"/>
                <w:bCs w:val="1"/>
                <w:color w:val="0033A0"/>
                <w:w w:val="99"/>
              </w:rPr>
              <w:t>Maximum</w:t>
            </w:r>
          </w:p>
        </w:tc>
        <w:tc>
          <w:tcPr>
            <w:tcW w:w="280" w:type="dxa"/>
            <w:vAlign w:val="bottom"/>
            <w:tcBorders>
              <w:top w:val="single" w:sz="8" w:color="BFBFBF"/>
            </w:tcBorders>
            <w:shd w:val="clear" w:color="auto" w:fill="E6E6E6"/>
          </w:tcPr>
          <w:p>
            <w:pPr>
              <w:spacing w:after="0"/>
              <w:rPr>
                <w:sz w:val="14"/>
                <w:szCs w:val="14"/>
                <w:color w:val="auto"/>
              </w:rPr>
            </w:pPr>
          </w:p>
        </w:tc>
        <w:tc>
          <w:tcPr>
            <w:tcW w:w="1060" w:type="dxa"/>
            <w:vAlign w:val="bottom"/>
            <w:tcBorders>
              <w:top w:val="single" w:sz="8" w:color="BFBFBF"/>
            </w:tcBorders>
            <w:shd w:val="clear" w:color="auto" w:fill="E6E6E6"/>
          </w:tcPr>
          <w:p>
            <w:pPr>
              <w:ind w:left="120"/>
              <w:spacing w:after="0"/>
              <w:rPr>
                <w:sz w:val="20"/>
                <w:szCs w:val="20"/>
                <w:color w:val="auto"/>
              </w:rPr>
            </w:pPr>
            <w:r>
              <w:rPr>
                <w:rFonts w:ascii="Arial" w:cs="Arial" w:eastAsia="Arial" w:hAnsi="Arial"/>
                <w:sz w:val="14"/>
                <w:szCs w:val="14"/>
                <w:b w:val="1"/>
                <w:bCs w:val="1"/>
                <w:color w:val="0033A0"/>
              </w:rPr>
              <w:t>Actual</w:t>
            </w:r>
          </w:p>
        </w:tc>
        <w:tc>
          <w:tcPr>
            <w:tcW w:w="1100" w:type="dxa"/>
            <w:vAlign w:val="bottom"/>
            <w:tcBorders>
              <w:top w:val="single" w:sz="8" w:color="BFBFBF"/>
            </w:tcBorders>
            <w:shd w:val="clear" w:color="auto" w:fill="E6E6E6"/>
          </w:tcPr>
          <w:p>
            <w:pPr>
              <w:jc w:val="center"/>
              <w:ind w:right="85"/>
              <w:spacing w:after="0"/>
              <w:rPr>
                <w:sz w:val="20"/>
                <w:szCs w:val="20"/>
                <w:color w:val="auto"/>
              </w:rPr>
            </w:pPr>
            <w:r>
              <w:rPr>
                <w:rFonts w:ascii="Arial" w:cs="Arial" w:eastAsia="Arial" w:hAnsi="Arial"/>
                <w:sz w:val="14"/>
                <w:szCs w:val="14"/>
                <w:b w:val="1"/>
                <w:bCs w:val="1"/>
                <w:color w:val="0033A0"/>
                <w:w w:val="89"/>
              </w:rPr>
              <w:t>Payout</w:t>
            </w:r>
          </w:p>
        </w:tc>
        <w:tc>
          <w:tcPr>
            <w:tcW w:w="20" w:type="dxa"/>
            <w:vAlign w:val="bottom"/>
          </w:tcPr>
          <w:p>
            <w:pPr>
              <w:spacing w:after="0"/>
              <w:rPr>
                <w:sz w:val="14"/>
                <w:szCs w:val="14"/>
                <w:color w:val="auto"/>
              </w:rPr>
            </w:pPr>
          </w:p>
        </w:tc>
      </w:tr>
      <w:tr>
        <w:trPr>
          <w:trHeight w:val="178"/>
        </w:trPr>
        <w:tc>
          <w:tcPr>
            <w:tcW w:w="380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4"/>
                <w:szCs w:val="14"/>
                <w:b w:val="1"/>
                <w:bCs w:val="1"/>
                <w:color w:val="0033A0"/>
              </w:rPr>
              <w:t>(in millions)</w:t>
            </w:r>
          </w:p>
        </w:tc>
        <w:tc>
          <w:tcPr>
            <w:tcW w:w="1400" w:type="dxa"/>
            <w:vAlign w:val="bottom"/>
            <w:tcBorders>
              <w:bottom w:val="single" w:sz="8" w:color="BFBFBF"/>
            </w:tcBorders>
            <w:shd w:val="clear" w:color="auto" w:fill="E6E6E6"/>
          </w:tcPr>
          <w:p>
            <w:pPr>
              <w:spacing w:after="0"/>
              <w:rPr>
                <w:sz w:val="15"/>
                <w:szCs w:val="15"/>
                <w:color w:val="auto"/>
              </w:rPr>
            </w:pPr>
          </w:p>
        </w:tc>
        <w:tc>
          <w:tcPr>
            <w:tcW w:w="1060" w:type="dxa"/>
            <w:vAlign w:val="bottom"/>
            <w:tcBorders>
              <w:bottom w:val="single" w:sz="8" w:color="BFBFBF"/>
            </w:tcBorders>
            <w:shd w:val="clear" w:color="auto" w:fill="E6E6E6"/>
          </w:tcPr>
          <w:p>
            <w:pPr>
              <w:jc w:val="right"/>
              <w:ind w:right="112"/>
              <w:spacing w:after="0"/>
              <w:rPr>
                <w:sz w:val="20"/>
                <w:szCs w:val="20"/>
                <w:color w:val="auto"/>
              </w:rPr>
            </w:pPr>
            <w:r>
              <w:rPr>
                <w:rFonts w:ascii="Arial" w:cs="Arial" w:eastAsia="Arial" w:hAnsi="Arial"/>
                <w:sz w:val="14"/>
                <w:szCs w:val="14"/>
                <w:b w:val="1"/>
                <w:bCs w:val="1"/>
                <w:color w:val="0033A0"/>
                <w:w w:val="95"/>
              </w:rPr>
              <w:t>(50% Payout)</w:t>
            </w:r>
          </w:p>
        </w:tc>
        <w:tc>
          <w:tcPr>
            <w:tcW w:w="1280" w:type="dxa"/>
            <w:vAlign w:val="bottom"/>
            <w:tcBorders>
              <w:bottom w:val="single" w:sz="8" w:color="BFBFBF"/>
            </w:tcBorders>
            <w:gridSpan w:val="2"/>
            <w:shd w:val="clear" w:color="auto" w:fill="E6E6E6"/>
          </w:tcPr>
          <w:p>
            <w:pPr>
              <w:jc w:val="center"/>
              <w:spacing w:after="0"/>
              <w:rPr>
                <w:sz w:val="20"/>
                <w:szCs w:val="20"/>
                <w:color w:val="auto"/>
              </w:rPr>
            </w:pPr>
            <w:r>
              <w:rPr>
                <w:rFonts w:ascii="Arial" w:cs="Arial" w:eastAsia="Arial" w:hAnsi="Arial"/>
                <w:sz w:val="14"/>
                <w:szCs w:val="14"/>
                <w:b w:val="1"/>
                <w:bCs w:val="1"/>
                <w:color w:val="0033A0"/>
                <w:w w:val="96"/>
              </w:rPr>
              <w:t>(100% Payout)</w:t>
            </w:r>
          </w:p>
        </w:tc>
        <w:tc>
          <w:tcPr>
            <w:tcW w:w="1260" w:type="dxa"/>
            <w:vAlign w:val="bottom"/>
            <w:tcBorders>
              <w:bottom w:val="single" w:sz="8" w:color="BFBFBF"/>
            </w:tcBorders>
            <w:gridSpan w:val="2"/>
            <w:shd w:val="clear" w:color="auto" w:fill="E6E6E6"/>
          </w:tcPr>
          <w:p>
            <w:pPr>
              <w:jc w:val="center"/>
              <w:spacing w:after="0"/>
              <w:rPr>
                <w:sz w:val="20"/>
                <w:szCs w:val="20"/>
                <w:color w:val="auto"/>
              </w:rPr>
            </w:pPr>
            <w:r>
              <w:rPr>
                <w:rFonts w:ascii="Arial" w:cs="Arial" w:eastAsia="Arial" w:hAnsi="Arial"/>
                <w:sz w:val="14"/>
                <w:szCs w:val="14"/>
                <w:b w:val="1"/>
                <w:bCs w:val="1"/>
                <w:color w:val="0033A0"/>
                <w:w w:val="98"/>
              </w:rPr>
              <w:t>(150% Payout)</w:t>
            </w:r>
          </w:p>
        </w:tc>
        <w:tc>
          <w:tcPr>
            <w:tcW w:w="280" w:type="dxa"/>
            <w:vAlign w:val="bottom"/>
            <w:tcBorders>
              <w:bottom w:val="single" w:sz="8" w:color="BFBFBF"/>
            </w:tcBorders>
            <w:shd w:val="clear" w:color="auto" w:fill="E6E6E6"/>
          </w:tcPr>
          <w:p>
            <w:pPr>
              <w:spacing w:after="0"/>
              <w:rPr>
                <w:sz w:val="15"/>
                <w:szCs w:val="15"/>
                <w:color w:val="auto"/>
              </w:rPr>
            </w:pPr>
          </w:p>
        </w:tc>
        <w:tc>
          <w:tcPr>
            <w:tcW w:w="1060" w:type="dxa"/>
            <w:vAlign w:val="bottom"/>
            <w:tcBorders>
              <w:bottom w:val="single" w:sz="8" w:color="BFBFBF"/>
            </w:tcBorders>
            <w:shd w:val="clear" w:color="auto" w:fill="E6E6E6"/>
          </w:tcPr>
          <w:p>
            <w:pPr>
              <w:ind w:left="100"/>
              <w:spacing w:after="0"/>
              <w:rPr>
                <w:sz w:val="20"/>
                <w:szCs w:val="20"/>
                <w:color w:val="auto"/>
              </w:rPr>
            </w:pPr>
            <w:r>
              <w:rPr>
                <w:rFonts w:ascii="Arial" w:cs="Arial" w:eastAsia="Arial" w:hAnsi="Arial"/>
                <w:sz w:val="14"/>
                <w:szCs w:val="14"/>
                <w:b w:val="1"/>
                <w:bCs w:val="1"/>
                <w:color w:val="0033A0"/>
              </w:rPr>
              <w:t>Results</w:t>
            </w:r>
          </w:p>
        </w:tc>
        <w:tc>
          <w:tcPr>
            <w:tcW w:w="1100" w:type="dxa"/>
            <w:vAlign w:val="bottom"/>
            <w:tcBorders>
              <w:bottom w:val="single" w:sz="8" w:color="BFBFBF"/>
            </w:tcBorders>
            <w:shd w:val="clear" w:color="auto" w:fill="E6E6E6"/>
          </w:tcPr>
          <w:p>
            <w:pPr>
              <w:jc w:val="center"/>
              <w:ind w:right="85"/>
              <w:spacing w:after="0"/>
              <w:rPr>
                <w:sz w:val="20"/>
                <w:szCs w:val="20"/>
                <w:color w:val="auto"/>
              </w:rPr>
            </w:pPr>
            <w:r>
              <w:rPr>
                <w:rFonts w:ascii="Arial" w:cs="Arial" w:eastAsia="Arial" w:hAnsi="Arial"/>
                <w:sz w:val="14"/>
                <w:szCs w:val="14"/>
                <w:b w:val="1"/>
                <w:bCs w:val="1"/>
                <w:color w:val="0033A0"/>
                <w:w w:val="94"/>
              </w:rPr>
              <w:t>Level</w:t>
            </w:r>
          </w:p>
        </w:tc>
        <w:tc>
          <w:tcPr>
            <w:tcW w:w="20" w:type="dxa"/>
            <w:vAlign w:val="bottom"/>
          </w:tcPr>
          <w:p>
            <w:pPr>
              <w:spacing w:after="0"/>
              <w:rPr>
                <w:sz w:val="15"/>
                <w:szCs w:val="15"/>
                <w:color w:val="auto"/>
              </w:rPr>
            </w:pPr>
          </w:p>
        </w:tc>
      </w:tr>
      <w:tr>
        <w:trPr>
          <w:trHeight w:val="236"/>
        </w:trPr>
        <w:tc>
          <w:tcPr>
            <w:tcW w:w="380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Company</w:t>
            </w:r>
          </w:p>
        </w:tc>
        <w:tc>
          <w:tcPr>
            <w:tcW w:w="14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BFBF"/>
            </w:tcBorders>
          </w:tcPr>
          <w:p>
            <w:pPr>
              <w:jc w:val="right"/>
              <w:ind w:right="12"/>
              <w:spacing w:after="0"/>
              <w:rPr>
                <w:sz w:val="20"/>
                <w:szCs w:val="20"/>
                <w:color w:val="auto"/>
              </w:rPr>
            </w:pPr>
            <w:r>
              <w:rPr>
                <w:rFonts w:ascii="Arial" w:cs="Arial" w:eastAsia="Arial" w:hAnsi="Arial"/>
                <w:sz w:val="16"/>
                <w:szCs w:val="16"/>
                <w:color w:val="auto"/>
              </w:rPr>
              <w:t>248.5</w:t>
            </w:r>
          </w:p>
        </w:tc>
        <w:tc>
          <w:tcPr>
            <w:tcW w:w="320" w:type="dxa"/>
            <w:vAlign w:val="bottom"/>
            <w:tcBorders>
              <w:bottom w:val="single" w:sz="8" w:color="BFBFBF"/>
            </w:tcBorders>
          </w:tcPr>
          <w:p>
            <w:pPr>
              <w:jc w:val="right"/>
              <w:ind w:right="44"/>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FBFBF"/>
            </w:tcBorders>
          </w:tcPr>
          <w:p>
            <w:pPr>
              <w:jc w:val="right"/>
              <w:ind w:right="44"/>
              <w:spacing w:after="0"/>
              <w:rPr>
                <w:sz w:val="20"/>
                <w:szCs w:val="20"/>
                <w:color w:val="auto"/>
              </w:rPr>
            </w:pPr>
            <w:r>
              <w:rPr>
                <w:rFonts w:ascii="Arial" w:cs="Arial" w:eastAsia="Arial" w:hAnsi="Arial"/>
                <w:sz w:val="16"/>
                <w:szCs w:val="16"/>
                <w:color w:val="auto"/>
              </w:rPr>
              <w:t>355.0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tcPr>
          <w:p>
            <w:pPr>
              <w:jc w:val="right"/>
              <w:ind w:right="44"/>
              <w:spacing w:after="0"/>
              <w:rPr>
                <w:sz w:val="20"/>
                <w:szCs w:val="20"/>
                <w:color w:val="auto"/>
              </w:rPr>
            </w:pPr>
            <w:r>
              <w:rPr>
                <w:rFonts w:ascii="Arial" w:cs="Arial" w:eastAsia="Arial" w:hAnsi="Arial"/>
                <w:sz w:val="16"/>
                <w:szCs w:val="16"/>
                <w:color w:val="auto"/>
              </w:rPr>
              <w:t>461.5</w:t>
            </w:r>
          </w:p>
        </w:tc>
        <w:tc>
          <w:tcPr>
            <w:tcW w:w="28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BFBF"/>
            </w:tcBorders>
          </w:tcPr>
          <w:p>
            <w:pPr>
              <w:jc w:val="right"/>
              <w:ind w:right="161"/>
              <w:spacing w:after="0"/>
              <w:rPr>
                <w:sz w:val="20"/>
                <w:szCs w:val="20"/>
                <w:color w:val="auto"/>
              </w:rPr>
            </w:pPr>
            <w:r>
              <w:rPr>
                <w:rFonts w:ascii="Arial" w:cs="Arial" w:eastAsia="Arial" w:hAnsi="Arial"/>
                <w:sz w:val="16"/>
                <w:szCs w:val="16"/>
                <w:color w:val="auto"/>
              </w:rPr>
              <w:t>409.4</w:t>
            </w:r>
          </w:p>
        </w:tc>
        <w:tc>
          <w:tcPr>
            <w:tcW w:w="1100" w:type="dxa"/>
            <w:vAlign w:val="bottom"/>
            <w:tcBorders>
              <w:bottom w:val="single" w:sz="8" w:color="BFBFBF"/>
            </w:tcBorders>
          </w:tcPr>
          <w:p>
            <w:pPr>
              <w:jc w:val="center"/>
              <w:ind w:right="85"/>
              <w:spacing w:after="0"/>
              <w:rPr>
                <w:sz w:val="20"/>
                <w:szCs w:val="20"/>
                <w:color w:val="auto"/>
              </w:rPr>
            </w:pPr>
            <w:r>
              <w:rPr>
                <w:rFonts w:ascii="Arial" w:cs="Arial" w:eastAsia="Arial" w:hAnsi="Arial"/>
                <w:sz w:val="16"/>
                <w:szCs w:val="16"/>
                <w:color w:val="auto"/>
                <w:w w:val="92"/>
              </w:rPr>
              <w:t>126%</w:t>
            </w:r>
          </w:p>
        </w:tc>
        <w:tc>
          <w:tcPr>
            <w:tcW w:w="20" w:type="dxa"/>
            <w:vAlign w:val="bottom"/>
          </w:tcPr>
          <w:p>
            <w:pPr>
              <w:spacing w:after="0"/>
              <w:rPr>
                <w:sz w:val="20"/>
                <w:szCs w:val="20"/>
                <w:color w:val="auto"/>
              </w:rPr>
            </w:pPr>
          </w:p>
        </w:tc>
      </w:tr>
      <w:tr>
        <w:trPr>
          <w:trHeight w:val="338"/>
        </w:trPr>
        <w:tc>
          <w:tcPr>
            <w:tcW w:w="3800" w:type="dxa"/>
            <w:vAlign w:val="bottom"/>
            <w:tcBorders>
              <w:bottom w:val="single" w:sz="8" w:color="0033A0"/>
            </w:tcBorders>
          </w:tcPr>
          <w:p>
            <w:pPr>
              <w:spacing w:after="0"/>
              <w:rPr>
                <w:sz w:val="24"/>
                <w:szCs w:val="24"/>
                <w:color w:val="auto"/>
              </w:rPr>
            </w:pPr>
          </w:p>
        </w:tc>
        <w:tc>
          <w:tcPr>
            <w:tcW w:w="1400" w:type="dxa"/>
            <w:vAlign w:val="bottom"/>
            <w:tcBorders>
              <w:bottom w:val="single" w:sz="8" w:color="0033A0"/>
            </w:tcBorders>
          </w:tcPr>
          <w:p>
            <w:pPr>
              <w:spacing w:after="0"/>
              <w:rPr>
                <w:sz w:val="24"/>
                <w:szCs w:val="24"/>
                <w:color w:val="auto"/>
              </w:rPr>
            </w:pPr>
          </w:p>
        </w:tc>
        <w:tc>
          <w:tcPr>
            <w:tcW w:w="1060" w:type="dxa"/>
            <w:vAlign w:val="bottom"/>
            <w:tcBorders>
              <w:bottom w:val="single" w:sz="8" w:color="0033A0"/>
            </w:tcBorders>
          </w:tcPr>
          <w:p>
            <w:pPr>
              <w:spacing w:after="0"/>
              <w:rPr>
                <w:sz w:val="24"/>
                <w:szCs w:val="24"/>
                <w:color w:val="auto"/>
              </w:rPr>
            </w:pPr>
          </w:p>
        </w:tc>
        <w:tc>
          <w:tcPr>
            <w:tcW w:w="320" w:type="dxa"/>
            <w:vAlign w:val="bottom"/>
            <w:tcBorders>
              <w:bottom w:val="single" w:sz="8" w:color="0033A0"/>
            </w:tcBorders>
          </w:tcPr>
          <w:p>
            <w:pPr>
              <w:spacing w:after="0"/>
              <w:rPr>
                <w:sz w:val="24"/>
                <w:szCs w:val="24"/>
                <w:color w:val="auto"/>
              </w:rPr>
            </w:pPr>
          </w:p>
        </w:tc>
        <w:tc>
          <w:tcPr>
            <w:tcW w:w="960" w:type="dxa"/>
            <w:vAlign w:val="bottom"/>
            <w:tcBorders>
              <w:bottom w:val="single" w:sz="8" w:color="0033A0"/>
            </w:tcBorders>
          </w:tcPr>
          <w:p>
            <w:pPr>
              <w:spacing w:after="0"/>
              <w:rPr>
                <w:sz w:val="24"/>
                <w:szCs w:val="24"/>
                <w:color w:val="auto"/>
              </w:rPr>
            </w:pPr>
          </w:p>
        </w:tc>
        <w:tc>
          <w:tcPr>
            <w:tcW w:w="240" w:type="dxa"/>
            <w:vAlign w:val="bottom"/>
            <w:tcBorders>
              <w:bottom w:val="single" w:sz="8" w:color="0033A0"/>
            </w:tcBorders>
          </w:tcPr>
          <w:p>
            <w:pPr>
              <w:spacing w:after="0"/>
              <w:rPr>
                <w:sz w:val="24"/>
                <w:szCs w:val="24"/>
                <w:color w:val="auto"/>
              </w:rPr>
            </w:pPr>
          </w:p>
        </w:tc>
        <w:tc>
          <w:tcPr>
            <w:tcW w:w="1020" w:type="dxa"/>
            <w:vAlign w:val="bottom"/>
            <w:tcBorders>
              <w:bottom w:val="single" w:sz="8" w:color="0033A0"/>
            </w:tcBorders>
          </w:tcPr>
          <w:p>
            <w:pPr>
              <w:spacing w:after="0"/>
              <w:rPr>
                <w:sz w:val="24"/>
                <w:szCs w:val="24"/>
                <w:color w:val="auto"/>
              </w:rPr>
            </w:pPr>
          </w:p>
        </w:tc>
        <w:tc>
          <w:tcPr>
            <w:tcW w:w="280" w:type="dxa"/>
            <w:vAlign w:val="bottom"/>
            <w:tcBorders>
              <w:bottom w:val="single" w:sz="8" w:color="0033A0"/>
            </w:tcBorders>
          </w:tcPr>
          <w:p>
            <w:pPr>
              <w:spacing w:after="0"/>
              <w:rPr>
                <w:sz w:val="24"/>
                <w:szCs w:val="24"/>
                <w:color w:val="auto"/>
              </w:rPr>
            </w:pPr>
          </w:p>
        </w:tc>
        <w:tc>
          <w:tcPr>
            <w:tcW w:w="2160" w:type="dxa"/>
            <w:vAlign w:val="bottom"/>
            <w:tcBorders>
              <w:bottom w:val="single" w:sz="8" w:color="0033A0"/>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3800" w:type="dxa"/>
            <w:vAlign w:val="bottom"/>
          </w:tcPr>
          <w:p>
            <w:pPr>
              <w:ind w:left="500"/>
              <w:spacing w:after="0"/>
              <w:rPr>
                <w:sz w:val="20"/>
                <w:szCs w:val="20"/>
                <w:color w:val="auto"/>
              </w:rPr>
            </w:pPr>
            <w:r>
              <w:rPr>
                <w:rFonts w:ascii="Arial" w:cs="Arial" w:eastAsia="Arial" w:hAnsi="Arial"/>
                <w:sz w:val="18"/>
                <w:szCs w:val="18"/>
                <w:color w:val="auto"/>
              </w:rPr>
              <w:t>The E.W. Scripps Company</w:t>
            </w:r>
          </w:p>
        </w:tc>
        <w:tc>
          <w:tcPr>
            <w:tcW w:w="14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Arial" w:cs="Arial" w:eastAsia="Arial" w:hAnsi="Arial"/>
                <w:sz w:val="25"/>
                <w:szCs w:val="25"/>
                <w:b w:val="1"/>
                <w:bCs w:val="1"/>
                <w:color w:val="0033A0"/>
              </w:rPr>
              <w:t>35</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3"/>
          </w:tcPr>
          <w:p>
            <w:pPr>
              <w:ind w:left="560"/>
              <w:spacing w:after="0"/>
              <w:rPr>
                <w:sz w:val="20"/>
                <w:szCs w:val="20"/>
                <w:color w:val="auto"/>
              </w:rPr>
            </w:pPr>
            <w:r>
              <w:rPr>
                <w:rFonts w:ascii="Arial" w:cs="Arial" w:eastAsia="Arial" w:hAnsi="Arial"/>
                <w:sz w:val="18"/>
                <w:szCs w:val="18"/>
                <w:color w:val="auto"/>
                <w:w w:val="89"/>
              </w:rPr>
              <w:t>2020 Proxy Statement</w:t>
            </w:r>
          </w:p>
        </w:tc>
      </w:tr>
      <w:tr>
        <w:trPr>
          <w:trHeight w:val="255"/>
        </w:trPr>
        <w:tc>
          <w:tcPr>
            <w:tcW w:w="3800" w:type="dxa"/>
            <w:vAlign w:val="bottom"/>
            <w:tcBorders>
              <w:bottom w:val="single" w:sz="8" w:color="9A9A9A"/>
            </w:tcBorders>
          </w:tcPr>
          <w:p>
            <w:pPr>
              <w:spacing w:after="0"/>
              <w:rPr>
                <w:sz w:val="22"/>
                <w:szCs w:val="22"/>
                <w:color w:val="auto"/>
              </w:rPr>
            </w:pPr>
          </w:p>
        </w:tc>
        <w:tc>
          <w:tcPr>
            <w:tcW w:w="140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20574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6"/>
        </w:trPr>
        <w:tc>
          <w:tcPr>
            <w:tcW w:w="3180" w:type="dxa"/>
            <w:vAlign w:val="bottom"/>
            <w:tcBorders>
              <w:top w:val="single" w:sz="8" w:color="BFBFBF"/>
            </w:tcBorders>
            <w:shd w:val="clear" w:color="auto" w:fill="E6E6E6"/>
          </w:tcPr>
          <w:p>
            <w:pPr>
              <w:ind w:left="140"/>
              <w:spacing w:after="0"/>
              <w:rPr>
                <w:sz w:val="20"/>
                <w:szCs w:val="20"/>
                <w:color w:val="auto"/>
              </w:rPr>
            </w:pPr>
            <w:r>
              <w:rPr>
                <w:rFonts w:ascii="Arial" w:cs="Arial" w:eastAsia="Arial" w:hAnsi="Arial"/>
                <w:sz w:val="14"/>
                <w:szCs w:val="14"/>
                <w:b w:val="1"/>
                <w:bCs w:val="1"/>
                <w:color w:val="0033A0"/>
              </w:rPr>
              <w:t>Revenue*</w:t>
            </w:r>
          </w:p>
        </w:tc>
        <w:tc>
          <w:tcPr>
            <w:tcW w:w="2020" w:type="dxa"/>
            <w:vAlign w:val="bottom"/>
            <w:tcBorders>
              <w:top w:val="single" w:sz="8" w:color="BFBFBF"/>
            </w:tcBorders>
            <w:shd w:val="clear" w:color="auto" w:fill="E6E6E6"/>
          </w:tcPr>
          <w:p>
            <w:pPr>
              <w:spacing w:after="0"/>
              <w:rPr>
                <w:sz w:val="14"/>
                <w:szCs w:val="14"/>
                <w:color w:val="auto"/>
              </w:rPr>
            </w:pPr>
          </w:p>
        </w:tc>
        <w:tc>
          <w:tcPr>
            <w:tcW w:w="1060" w:type="dxa"/>
            <w:vAlign w:val="bottom"/>
            <w:tcBorders>
              <w:top w:val="single" w:sz="8" w:color="BFBFBF"/>
            </w:tcBorders>
            <w:shd w:val="clear" w:color="auto" w:fill="E6E6E6"/>
          </w:tcPr>
          <w:p>
            <w:pPr>
              <w:jc w:val="right"/>
              <w:ind w:right="243"/>
              <w:spacing w:after="0"/>
              <w:rPr>
                <w:sz w:val="20"/>
                <w:szCs w:val="20"/>
                <w:color w:val="auto"/>
              </w:rPr>
            </w:pPr>
            <w:r>
              <w:rPr>
                <w:rFonts w:ascii="Arial" w:cs="Arial" w:eastAsia="Arial" w:hAnsi="Arial"/>
                <w:sz w:val="14"/>
                <w:szCs w:val="14"/>
                <w:b w:val="1"/>
                <w:bCs w:val="1"/>
                <w:color w:val="0033A0"/>
              </w:rPr>
              <w:t>Threshold</w:t>
            </w:r>
          </w:p>
        </w:tc>
        <w:tc>
          <w:tcPr>
            <w:tcW w:w="320" w:type="dxa"/>
            <w:vAlign w:val="bottom"/>
            <w:tcBorders>
              <w:top w:val="single" w:sz="8" w:color="BFBFBF"/>
            </w:tcBorders>
            <w:shd w:val="clear" w:color="auto" w:fill="E6E6E6"/>
          </w:tcPr>
          <w:p>
            <w:pPr>
              <w:spacing w:after="0"/>
              <w:rPr>
                <w:sz w:val="14"/>
                <w:szCs w:val="14"/>
                <w:color w:val="auto"/>
              </w:rPr>
            </w:pPr>
          </w:p>
        </w:tc>
        <w:tc>
          <w:tcPr>
            <w:tcW w:w="960" w:type="dxa"/>
            <w:vAlign w:val="bottom"/>
            <w:tcBorders>
              <w:top w:val="single" w:sz="8" w:color="BFBFBF"/>
            </w:tcBorders>
            <w:shd w:val="clear" w:color="auto" w:fill="E6E6E6"/>
          </w:tcPr>
          <w:p>
            <w:pPr>
              <w:jc w:val="right"/>
              <w:ind w:right="361"/>
              <w:spacing w:after="0"/>
              <w:rPr>
                <w:sz w:val="20"/>
                <w:szCs w:val="20"/>
                <w:color w:val="auto"/>
              </w:rPr>
            </w:pPr>
            <w:r>
              <w:rPr>
                <w:rFonts w:ascii="Arial" w:cs="Arial" w:eastAsia="Arial" w:hAnsi="Arial"/>
                <w:sz w:val="14"/>
                <w:szCs w:val="14"/>
                <w:b w:val="1"/>
                <w:bCs w:val="1"/>
                <w:color w:val="0033A0"/>
              </w:rPr>
              <w:t>Target</w:t>
            </w:r>
          </w:p>
        </w:tc>
        <w:tc>
          <w:tcPr>
            <w:tcW w:w="240" w:type="dxa"/>
            <w:vAlign w:val="bottom"/>
            <w:tcBorders>
              <w:top w:val="single" w:sz="8" w:color="BFBFBF"/>
            </w:tcBorders>
            <w:shd w:val="clear" w:color="auto" w:fill="E6E6E6"/>
          </w:tcPr>
          <w:p>
            <w:pPr>
              <w:spacing w:after="0"/>
              <w:rPr>
                <w:sz w:val="14"/>
                <w:szCs w:val="14"/>
                <w:color w:val="auto"/>
              </w:rPr>
            </w:pPr>
          </w:p>
        </w:tc>
        <w:tc>
          <w:tcPr>
            <w:tcW w:w="1020" w:type="dxa"/>
            <w:vAlign w:val="bottom"/>
            <w:tcBorders>
              <w:top w:val="single" w:sz="8" w:color="BFBFBF"/>
            </w:tcBorders>
            <w:shd w:val="clear" w:color="auto" w:fill="E6E6E6"/>
          </w:tcPr>
          <w:p>
            <w:pPr>
              <w:jc w:val="right"/>
              <w:ind w:right="241"/>
              <w:spacing w:after="0"/>
              <w:rPr>
                <w:sz w:val="20"/>
                <w:szCs w:val="20"/>
                <w:color w:val="auto"/>
              </w:rPr>
            </w:pPr>
            <w:r>
              <w:rPr>
                <w:rFonts w:ascii="Arial" w:cs="Arial" w:eastAsia="Arial" w:hAnsi="Arial"/>
                <w:sz w:val="14"/>
                <w:szCs w:val="14"/>
                <w:b w:val="1"/>
                <w:bCs w:val="1"/>
                <w:color w:val="0033A0"/>
              </w:rPr>
              <w:t>Maximum</w:t>
            </w:r>
          </w:p>
        </w:tc>
        <w:tc>
          <w:tcPr>
            <w:tcW w:w="280" w:type="dxa"/>
            <w:vAlign w:val="bottom"/>
            <w:tcBorders>
              <w:top w:val="single" w:sz="8" w:color="BFBFBF"/>
            </w:tcBorders>
            <w:shd w:val="clear" w:color="auto" w:fill="E6E6E6"/>
          </w:tcPr>
          <w:p>
            <w:pPr>
              <w:spacing w:after="0"/>
              <w:rPr>
                <w:sz w:val="14"/>
                <w:szCs w:val="14"/>
                <w:color w:val="auto"/>
              </w:rPr>
            </w:pPr>
          </w:p>
        </w:tc>
        <w:tc>
          <w:tcPr>
            <w:tcW w:w="1060" w:type="dxa"/>
            <w:vAlign w:val="bottom"/>
            <w:tcBorders>
              <w:top w:val="single" w:sz="8" w:color="BFBFBF"/>
            </w:tcBorders>
            <w:shd w:val="clear" w:color="auto" w:fill="E6E6E6"/>
          </w:tcPr>
          <w:p>
            <w:pPr>
              <w:jc w:val="right"/>
              <w:ind w:right="463"/>
              <w:spacing w:after="0"/>
              <w:rPr>
                <w:sz w:val="20"/>
                <w:szCs w:val="20"/>
                <w:color w:val="auto"/>
              </w:rPr>
            </w:pPr>
            <w:r>
              <w:rPr>
                <w:rFonts w:ascii="Arial" w:cs="Arial" w:eastAsia="Arial" w:hAnsi="Arial"/>
                <w:sz w:val="14"/>
                <w:szCs w:val="14"/>
                <w:b w:val="1"/>
                <w:bCs w:val="1"/>
                <w:color w:val="0033A0"/>
              </w:rPr>
              <w:t>Actual</w:t>
            </w:r>
          </w:p>
        </w:tc>
        <w:tc>
          <w:tcPr>
            <w:tcW w:w="1100" w:type="dxa"/>
            <w:vAlign w:val="bottom"/>
            <w:tcBorders>
              <w:top w:val="single" w:sz="8" w:color="BFBFBF"/>
            </w:tcBorders>
            <w:shd w:val="clear" w:color="auto" w:fill="E6E6E6"/>
          </w:tcPr>
          <w:p>
            <w:pPr>
              <w:jc w:val="center"/>
              <w:ind w:right="83"/>
              <w:spacing w:after="0"/>
              <w:rPr>
                <w:sz w:val="20"/>
                <w:szCs w:val="20"/>
                <w:color w:val="auto"/>
              </w:rPr>
            </w:pPr>
            <w:r>
              <w:rPr>
                <w:rFonts w:ascii="Arial" w:cs="Arial" w:eastAsia="Arial" w:hAnsi="Arial"/>
                <w:sz w:val="14"/>
                <w:szCs w:val="14"/>
                <w:b w:val="1"/>
                <w:bCs w:val="1"/>
                <w:color w:val="0033A0"/>
                <w:w w:val="89"/>
              </w:rPr>
              <w:t>Payout</w:t>
            </w:r>
          </w:p>
        </w:tc>
      </w:tr>
      <w:tr>
        <w:trPr>
          <w:trHeight w:val="178"/>
        </w:trPr>
        <w:tc>
          <w:tcPr>
            <w:tcW w:w="318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4"/>
                <w:szCs w:val="14"/>
                <w:b w:val="1"/>
                <w:bCs w:val="1"/>
                <w:color w:val="0033A0"/>
              </w:rPr>
              <w:t>(in millions)</w:t>
            </w:r>
          </w:p>
        </w:tc>
        <w:tc>
          <w:tcPr>
            <w:tcW w:w="2020" w:type="dxa"/>
            <w:vAlign w:val="bottom"/>
            <w:tcBorders>
              <w:bottom w:val="single" w:sz="8" w:color="BFBFBF"/>
            </w:tcBorders>
            <w:shd w:val="clear" w:color="auto" w:fill="E6E6E6"/>
          </w:tcPr>
          <w:p>
            <w:pPr>
              <w:spacing w:after="0"/>
              <w:rPr>
                <w:sz w:val="15"/>
                <w:szCs w:val="15"/>
                <w:color w:val="auto"/>
              </w:rPr>
            </w:pPr>
          </w:p>
        </w:tc>
        <w:tc>
          <w:tcPr>
            <w:tcW w:w="1060" w:type="dxa"/>
            <w:vAlign w:val="bottom"/>
            <w:tcBorders>
              <w:bottom w:val="single" w:sz="8" w:color="BFBFBF"/>
            </w:tcBorders>
            <w:shd w:val="clear" w:color="auto" w:fill="E6E6E6"/>
          </w:tcPr>
          <w:p>
            <w:pPr>
              <w:jc w:val="right"/>
              <w:ind w:right="123"/>
              <w:spacing w:after="0"/>
              <w:rPr>
                <w:sz w:val="20"/>
                <w:szCs w:val="20"/>
                <w:color w:val="auto"/>
              </w:rPr>
            </w:pPr>
            <w:r>
              <w:rPr>
                <w:rFonts w:ascii="Arial" w:cs="Arial" w:eastAsia="Arial" w:hAnsi="Arial"/>
                <w:sz w:val="14"/>
                <w:szCs w:val="14"/>
                <w:b w:val="1"/>
                <w:bCs w:val="1"/>
                <w:color w:val="0033A0"/>
                <w:w w:val="95"/>
              </w:rPr>
              <w:t>(50% Payout)</w:t>
            </w:r>
          </w:p>
        </w:tc>
        <w:tc>
          <w:tcPr>
            <w:tcW w:w="1280" w:type="dxa"/>
            <w:vAlign w:val="bottom"/>
            <w:tcBorders>
              <w:bottom w:val="single" w:sz="8" w:color="BFBFBF"/>
            </w:tcBorders>
            <w:gridSpan w:val="2"/>
            <w:shd w:val="clear" w:color="auto" w:fill="E6E6E6"/>
          </w:tcPr>
          <w:p>
            <w:pPr>
              <w:jc w:val="right"/>
              <w:ind w:right="101"/>
              <w:spacing w:after="0"/>
              <w:rPr>
                <w:sz w:val="20"/>
                <w:szCs w:val="20"/>
                <w:color w:val="auto"/>
              </w:rPr>
            </w:pPr>
            <w:r>
              <w:rPr>
                <w:rFonts w:ascii="Arial" w:cs="Arial" w:eastAsia="Arial" w:hAnsi="Arial"/>
                <w:sz w:val="14"/>
                <w:szCs w:val="14"/>
                <w:b w:val="1"/>
                <w:bCs w:val="1"/>
                <w:color w:val="0033A0"/>
              </w:rPr>
              <w:t>(100% Payout)</w:t>
            </w:r>
          </w:p>
        </w:tc>
        <w:tc>
          <w:tcPr>
            <w:tcW w:w="1260" w:type="dxa"/>
            <w:vAlign w:val="bottom"/>
            <w:tcBorders>
              <w:bottom w:val="single" w:sz="8" w:color="BFBFBF"/>
            </w:tcBorders>
            <w:gridSpan w:val="2"/>
            <w:shd w:val="clear" w:color="auto" w:fill="E6E6E6"/>
          </w:tcPr>
          <w:p>
            <w:pPr>
              <w:jc w:val="right"/>
              <w:ind w:right="81"/>
              <w:spacing w:after="0"/>
              <w:rPr>
                <w:sz w:val="20"/>
                <w:szCs w:val="20"/>
                <w:color w:val="auto"/>
              </w:rPr>
            </w:pPr>
            <w:r>
              <w:rPr>
                <w:rFonts w:ascii="Arial" w:cs="Arial" w:eastAsia="Arial" w:hAnsi="Arial"/>
                <w:sz w:val="14"/>
                <w:szCs w:val="14"/>
                <w:b w:val="1"/>
                <w:bCs w:val="1"/>
                <w:color w:val="0033A0"/>
              </w:rPr>
              <w:t>(150% Payout)</w:t>
            </w:r>
          </w:p>
        </w:tc>
        <w:tc>
          <w:tcPr>
            <w:tcW w:w="280" w:type="dxa"/>
            <w:vAlign w:val="bottom"/>
            <w:tcBorders>
              <w:bottom w:val="single" w:sz="8" w:color="BFBFBF"/>
            </w:tcBorders>
            <w:shd w:val="clear" w:color="auto" w:fill="E6E6E6"/>
          </w:tcPr>
          <w:p>
            <w:pPr>
              <w:spacing w:after="0"/>
              <w:rPr>
                <w:sz w:val="15"/>
                <w:szCs w:val="15"/>
                <w:color w:val="auto"/>
              </w:rPr>
            </w:pPr>
          </w:p>
        </w:tc>
        <w:tc>
          <w:tcPr>
            <w:tcW w:w="1060" w:type="dxa"/>
            <w:vAlign w:val="bottom"/>
            <w:tcBorders>
              <w:bottom w:val="single" w:sz="8" w:color="BFBFBF"/>
            </w:tcBorders>
            <w:shd w:val="clear" w:color="auto" w:fill="E6E6E6"/>
          </w:tcPr>
          <w:p>
            <w:pPr>
              <w:jc w:val="right"/>
              <w:ind w:right="443"/>
              <w:spacing w:after="0"/>
              <w:rPr>
                <w:sz w:val="20"/>
                <w:szCs w:val="20"/>
                <w:color w:val="auto"/>
              </w:rPr>
            </w:pPr>
            <w:r>
              <w:rPr>
                <w:rFonts w:ascii="Arial" w:cs="Arial" w:eastAsia="Arial" w:hAnsi="Arial"/>
                <w:sz w:val="14"/>
                <w:szCs w:val="14"/>
                <w:b w:val="1"/>
                <w:bCs w:val="1"/>
                <w:color w:val="0033A0"/>
              </w:rPr>
              <w:t>Results</w:t>
            </w:r>
          </w:p>
        </w:tc>
        <w:tc>
          <w:tcPr>
            <w:tcW w:w="1100" w:type="dxa"/>
            <w:vAlign w:val="bottom"/>
            <w:tcBorders>
              <w:bottom w:val="single" w:sz="8" w:color="BFBFBF"/>
            </w:tcBorders>
            <w:shd w:val="clear" w:color="auto" w:fill="E6E6E6"/>
          </w:tcPr>
          <w:p>
            <w:pPr>
              <w:jc w:val="center"/>
              <w:ind w:right="83"/>
              <w:spacing w:after="0"/>
              <w:rPr>
                <w:sz w:val="20"/>
                <w:szCs w:val="20"/>
                <w:color w:val="auto"/>
              </w:rPr>
            </w:pPr>
            <w:r>
              <w:rPr>
                <w:rFonts w:ascii="Arial" w:cs="Arial" w:eastAsia="Arial" w:hAnsi="Arial"/>
                <w:sz w:val="14"/>
                <w:szCs w:val="14"/>
                <w:b w:val="1"/>
                <w:bCs w:val="1"/>
                <w:color w:val="0033A0"/>
                <w:w w:val="94"/>
              </w:rPr>
              <w:t>Level</w:t>
            </w:r>
          </w:p>
        </w:tc>
      </w:tr>
      <w:tr>
        <w:trPr>
          <w:trHeight w:val="229"/>
        </w:trPr>
        <w:tc>
          <w:tcPr>
            <w:tcW w:w="3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Company</w:t>
            </w:r>
          </w:p>
        </w:tc>
        <w:tc>
          <w:tcPr>
            <w:tcW w:w="20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BFBF"/>
            </w:tcBorders>
          </w:tcPr>
          <w:p>
            <w:pPr>
              <w:jc w:val="right"/>
              <w:ind w:right="23"/>
              <w:spacing w:after="0"/>
              <w:rPr>
                <w:sz w:val="20"/>
                <w:szCs w:val="20"/>
                <w:color w:val="auto"/>
              </w:rPr>
            </w:pPr>
            <w:r>
              <w:rPr>
                <w:rFonts w:ascii="Arial" w:cs="Arial" w:eastAsia="Arial" w:hAnsi="Arial"/>
                <w:sz w:val="16"/>
                <w:szCs w:val="16"/>
                <w:color w:val="auto"/>
              </w:rPr>
              <w:t>1,779.3</w:t>
            </w:r>
          </w:p>
        </w:tc>
        <w:tc>
          <w:tcPr>
            <w:tcW w:w="32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1,977.0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2,174.7</w:t>
            </w:r>
          </w:p>
        </w:tc>
        <w:tc>
          <w:tcPr>
            <w:tcW w:w="28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BFBF"/>
            </w:tcBorders>
          </w:tcPr>
          <w:p>
            <w:pPr>
              <w:jc w:val="right"/>
              <w:ind w:right="163"/>
              <w:spacing w:after="0"/>
              <w:rPr>
                <w:sz w:val="20"/>
                <w:szCs w:val="20"/>
                <w:color w:val="auto"/>
              </w:rPr>
            </w:pPr>
            <w:r>
              <w:rPr>
                <w:rFonts w:ascii="Arial" w:cs="Arial" w:eastAsia="Arial" w:hAnsi="Arial"/>
                <w:sz w:val="16"/>
                <w:szCs w:val="16"/>
                <w:color w:val="auto"/>
              </w:rPr>
              <w:t>1,913.4</w:t>
            </w:r>
          </w:p>
        </w:tc>
        <w:tc>
          <w:tcPr>
            <w:tcW w:w="1100" w:type="dxa"/>
            <w:vAlign w:val="bottom"/>
            <w:tcBorders>
              <w:bottom w:val="single" w:sz="8" w:color="BFBFBF"/>
            </w:tcBorders>
          </w:tcPr>
          <w:p>
            <w:pPr>
              <w:jc w:val="center"/>
              <w:ind w:right="83"/>
              <w:spacing w:after="0"/>
              <w:rPr>
                <w:sz w:val="20"/>
                <w:szCs w:val="20"/>
                <w:color w:val="auto"/>
              </w:rPr>
            </w:pPr>
            <w:r>
              <w:rPr>
                <w:rFonts w:ascii="Arial" w:cs="Arial" w:eastAsia="Arial" w:hAnsi="Arial"/>
                <w:sz w:val="16"/>
                <w:szCs w:val="16"/>
                <w:color w:val="auto"/>
                <w:w w:val="93"/>
              </w:rPr>
              <w:t>84%</w:t>
            </w:r>
          </w:p>
        </w:tc>
      </w:tr>
      <w:tr>
        <w:trPr>
          <w:trHeight w:val="223"/>
        </w:trPr>
        <w:tc>
          <w:tcPr>
            <w:tcW w:w="31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Broadcast</w:t>
            </w:r>
          </w:p>
        </w:tc>
        <w:tc>
          <w:tcPr>
            <w:tcW w:w="2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F2F2F2"/>
          </w:tcPr>
          <w:p>
            <w:pPr>
              <w:jc w:val="right"/>
              <w:ind w:right="23"/>
              <w:spacing w:after="0"/>
              <w:rPr>
                <w:sz w:val="20"/>
                <w:szCs w:val="20"/>
                <w:color w:val="auto"/>
              </w:rPr>
            </w:pPr>
            <w:r>
              <w:rPr>
                <w:rFonts w:ascii="Arial" w:cs="Arial" w:eastAsia="Arial" w:hAnsi="Arial"/>
                <w:sz w:val="16"/>
                <w:szCs w:val="16"/>
                <w:color w:val="auto"/>
              </w:rPr>
              <w:t>1,608.5</w:t>
            </w:r>
          </w:p>
        </w:tc>
        <w:tc>
          <w:tcPr>
            <w:tcW w:w="32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1,787.2</w:t>
            </w:r>
          </w:p>
        </w:tc>
        <w:tc>
          <w:tcPr>
            <w:tcW w:w="2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1,965.9</w:t>
            </w:r>
          </w:p>
        </w:tc>
        <w:tc>
          <w:tcPr>
            <w:tcW w:w="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F2F2F2"/>
          </w:tcPr>
          <w:p>
            <w:pPr>
              <w:jc w:val="right"/>
              <w:ind w:right="163"/>
              <w:spacing w:after="0"/>
              <w:rPr>
                <w:sz w:val="20"/>
                <w:szCs w:val="20"/>
                <w:color w:val="auto"/>
              </w:rPr>
            </w:pPr>
            <w:r>
              <w:rPr>
                <w:rFonts w:ascii="Arial" w:cs="Arial" w:eastAsia="Arial" w:hAnsi="Arial"/>
                <w:sz w:val="16"/>
                <w:szCs w:val="16"/>
                <w:color w:val="auto"/>
              </w:rPr>
              <w:t>1,732.9</w:t>
            </w:r>
          </w:p>
        </w:tc>
        <w:tc>
          <w:tcPr>
            <w:tcW w:w="1100" w:type="dxa"/>
            <w:vAlign w:val="bottom"/>
            <w:shd w:val="clear" w:color="auto" w:fill="F2F2F2"/>
          </w:tcPr>
          <w:p>
            <w:pPr>
              <w:jc w:val="center"/>
              <w:ind w:right="83"/>
              <w:spacing w:after="0"/>
              <w:rPr>
                <w:sz w:val="20"/>
                <w:szCs w:val="20"/>
                <w:color w:val="auto"/>
              </w:rPr>
            </w:pPr>
            <w:r>
              <w:rPr>
                <w:rFonts w:ascii="Arial" w:cs="Arial" w:eastAsia="Arial" w:hAnsi="Arial"/>
                <w:sz w:val="16"/>
                <w:szCs w:val="16"/>
                <w:color w:val="auto"/>
                <w:w w:val="93"/>
              </w:rPr>
              <w:t>85%</w:t>
            </w:r>
          </w:p>
        </w:tc>
      </w:tr>
      <w:tr>
        <w:trPr>
          <w:trHeight w:val="236"/>
        </w:trPr>
        <w:tc>
          <w:tcPr>
            <w:tcW w:w="3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National Brand</w:t>
            </w:r>
          </w:p>
        </w:tc>
        <w:tc>
          <w:tcPr>
            <w:tcW w:w="20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BFBF"/>
            </w:tcBorders>
          </w:tcPr>
          <w:p>
            <w:pPr>
              <w:jc w:val="right"/>
              <w:ind w:right="23"/>
              <w:spacing w:after="0"/>
              <w:rPr>
                <w:sz w:val="20"/>
                <w:szCs w:val="20"/>
                <w:color w:val="auto"/>
              </w:rPr>
            </w:pPr>
            <w:r>
              <w:rPr>
                <w:rFonts w:ascii="Arial" w:cs="Arial" w:eastAsia="Arial" w:hAnsi="Arial"/>
                <w:sz w:val="16"/>
                <w:szCs w:val="16"/>
                <w:color w:val="auto"/>
              </w:rPr>
              <w:t>165.7</w:t>
            </w:r>
          </w:p>
        </w:tc>
        <w:tc>
          <w:tcPr>
            <w:tcW w:w="32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184.1</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tcPr>
          <w:p>
            <w:pPr>
              <w:jc w:val="right"/>
              <w:ind w:right="41"/>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BFBF"/>
            </w:tcBorders>
          </w:tcPr>
          <w:p>
            <w:pPr>
              <w:jc w:val="right"/>
              <w:ind w:right="163"/>
              <w:spacing w:after="0"/>
              <w:rPr>
                <w:sz w:val="20"/>
                <w:szCs w:val="20"/>
                <w:color w:val="auto"/>
              </w:rPr>
            </w:pPr>
            <w:r>
              <w:rPr>
                <w:rFonts w:ascii="Arial" w:cs="Arial" w:eastAsia="Arial" w:hAnsi="Arial"/>
                <w:sz w:val="16"/>
                <w:szCs w:val="16"/>
                <w:color w:val="auto"/>
              </w:rPr>
              <w:t>176.6</w:t>
            </w:r>
          </w:p>
        </w:tc>
        <w:tc>
          <w:tcPr>
            <w:tcW w:w="1100" w:type="dxa"/>
            <w:vAlign w:val="bottom"/>
            <w:tcBorders>
              <w:bottom w:val="single" w:sz="8" w:color="BFBFBF"/>
            </w:tcBorders>
          </w:tcPr>
          <w:p>
            <w:pPr>
              <w:jc w:val="center"/>
              <w:ind w:right="83"/>
              <w:spacing w:after="0"/>
              <w:rPr>
                <w:sz w:val="20"/>
                <w:szCs w:val="20"/>
                <w:color w:val="auto"/>
              </w:rPr>
            </w:pPr>
            <w:r>
              <w:rPr>
                <w:rFonts w:ascii="Arial" w:cs="Arial" w:eastAsia="Arial" w:hAnsi="Arial"/>
                <w:sz w:val="16"/>
                <w:szCs w:val="16"/>
                <w:color w:val="auto"/>
                <w:w w:val="93"/>
              </w:rPr>
              <w:t>80%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automatic adjustment provisions described below, the Company free cash flow and the Company and National Brand revenue targets were adjusted to reflect the budgeted contributions of Stitcher, which was sold to SiriusXM during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the definitions for each of the performance goals: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294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auto"/>
              </w:rPr>
              <w:t>Performance Goal</w:t>
            </w:r>
          </w:p>
        </w:tc>
        <w:tc>
          <w:tcPr>
            <w:tcW w:w="6340" w:type="dxa"/>
            <w:vAlign w:val="bottom"/>
            <w:tcBorders>
              <w:top w:val="single" w:sz="8" w:color="auto"/>
            </w:tcBorders>
            <w:shd w:val="clear" w:color="auto" w:fill="E6E6E6"/>
          </w:tcPr>
          <w:p>
            <w:pPr>
              <w:ind w:left="420"/>
              <w:spacing w:after="0"/>
              <w:rPr>
                <w:sz w:val="20"/>
                <w:szCs w:val="20"/>
                <w:color w:val="auto"/>
              </w:rPr>
            </w:pPr>
            <w:r>
              <w:rPr>
                <w:rFonts w:ascii="Arial" w:cs="Arial" w:eastAsia="Arial" w:hAnsi="Arial"/>
                <w:sz w:val="18"/>
                <w:szCs w:val="18"/>
                <w:color w:val="auto"/>
              </w:rPr>
              <w:t>Description</w:t>
            </w:r>
          </w:p>
        </w:tc>
        <w:tc>
          <w:tcPr>
            <w:tcW w:w="1960" w:type="dxa"/>
            <w:vAlign w:val="bottom"/>
            <w:tcBorders>
              <w:top w:val="single" w:sz="8" w:color="auto"/>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shd w:val="clear" w:color="auto" w:fill="E6E6E6"/>
          </w:tcPr>
          <w:p>
            <w:pPr>
              <w:spacing w:after="0"/>
              <w:rPr>
                <w:sz w:val="19"/>
                <w:szCs w:val="19"/>
                <w:color w:val="auto"/>
              </w:rPr>
            </w:pPr>
          </w:p>
        </w:tc>
        <w:tc>
          <w:tcPr>
            <w:tcW w:w="8300" w:type="dxa"/>
            <w:vAlign w:val="bottom"/>
            <w:tcBorders>
              <w:bottom w:val="single" w:sz="8" w:color="auto"/>
            </w:tcBorders>
            <w:gridSpan w:val="2"/>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Company Free Cash Flow</w:t>
            </w:r>
          </w:p>
        </w:tc>
        <w:tc>
          <w:tcPr>
            <w:tcW w:w="830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93"/>
              </w:rPr>
              <w:t>Consolidated operating income, as reported in the Company’s Annual Report on Form 10-K for the 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rPr>
              <w:t>ending December 31, 2020 (“Annual Report”) as adjusted to include similar amounts related to any</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0"/>
              </w:rPr>
              <w:t>discontinued operations, excluding depreciation, amortization of intangible assets, asset impairment charges,</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1"/>
              </w:rPr>
              <w:t>unanticipated and/or unplanned restructuring charges, and expenses incurred in association with a business</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0"/>
              </w:rPr>
              <w:t>acquisition, less additions to property, plant and equipment from continuing and discontinued operations, and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3"/>
              </w:rPr>
              <w:t>excluding any amounts recorded for annual and long-term incentives earned under each plan. In addition,</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4"/>
              </w:rPr>
              <w:t>operating results and capital expenditures associated with the adoption of ATSC 3.0 and the FCC repack</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shall also be excluded.</w:t>
            </w:r>
          </w:p>
        </w:tc>
        <w:tc>
          <w:tcPr>
            <w:tcW w:w="1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Company Revenue</w:t>
            </w:r>
          </w:p>
        </w:tc>
        <w:tc>
          <w:tcPr>
            <w:tcW w:w="830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93"/>
              </w:rPr>
              <w:t>Consolidated operating revenue, as reported in the Annual Report for the performance period, adjusted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include revenue from discontinued operations.</w:t>
            </w:r>
          </w:p>
        </w:tc>
        <w:tc>
          <w:tcPr>
            <w:tcW w:w="1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Broadcast Revenue</w:t>
            </w:r>
          </w:p>
        </w:tc>
        <w:tc>
          <w:tcPr>
            <w:tcW w:w="830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90"/>
              </w:rPr>
              <w:t>All revenues reported as Local Media segment revenues in the Company’s Annual Report, plus any revenues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1"/>
              </w:rPr>
              <w:t>associated with the Local Media segment and all revenue associated with Katz Broadcasting included in the</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National Brand segment.</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National Brand Revenue</w:t>
            </w:r>
          </w:p>
        </w:tc>
        <w:tc>
          <w:tcPr>
            <w:tcW w:w="830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94"/>
              </w:rPr>
              <w:t>All revenues reported as National Brand segment revenues in the Company’s Annual Report, adjusted to</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0"/>
              </w:rPr>
              <w:t>remove the revenues of Katz Broadcasting, plus any amounts previously reported as National Brand segment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revenues that are reported as discontinued operations.</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Automatic Adjustments</w:t>
            </w:r>
          </w:p>
        </w:tc>
        <w:tc>
          <w:tcPr>
            <w:tcW w:w="830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90"/>
              </w:rPr>
              <w:t>If the Company divests any business during the performance period, then the threshold, target and maximum</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320" w:type="dxa"/>
            <w:vAlign w:val="bottom"/>
            <w:gridSpan w:val="3"/>
          </w:tcPr>
          <w:p>
            <w:pPr>
              <w:ind w:left="420"/>
              <w:spacing w:after="0"/>
              <w:rPr>
                <w:sz w:val="20"/>
                <w:szCs w:val="20"/>
                <w:color w:val="auto"/>
              </w:rPr>
            </w:pPr>
            <w:r>
              <w:rPr>
                <w:rFonts w:ascii="Arial" w:cs="Arial" w:eastAsia="Arial" w:hAnsi="Arial"/>
                <w:sz w:val="18"/>
                <w:szCs w:val="18"/>
                <w:color w:val="auto"/>
                <w:w w:val="95"/>
              </w:rPr>
              <w:t>performance levels for each of the performance goals, as applicable, shall be decreased by the divested</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w w:val="96"/>
              </w:rPr>
              <w:t>business’ budgeted contribution for the periods subsequent to the divestiture.</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940" w:type="dxa"/>
            <w:vAlign w:val="bottom"/>
            <w:tcBorders>
              <w:bottom w:val="single" w:sz="8" w:color="0033A0"/>
            </w:tcBorders>
          </w:tcPr>
          <w:p>
            <w:pPr>
              <w:spacing w:after="0"/>
              <w:rPr>
                <w:sz w:val="24"/>
                <w:szCs w:val="24"/>
                <w:color w:val="auto"/>
              </w:rPr>
            </w:pPr>
          </w:p>
        </w:tc>
        <w:tc>
          <w:tcPr>
            <w:tcW w:w="6340" w:type="dxa"/>
            <w:vAlign w:val="bottom"/>
            <w:tcBorders>
              <w:bottom w:val="single" w:sz="8" w:color="0033A0"/>
            </w:tcBorders>
          </w:tcPr>
          <w:p>
            <w:pPr>
              <w:spacing w:after="0"/>
              <w:rPr>
                <w:sz w:val="24"/>
                <w:szCs w:val="24"/>
                <w:color w:val="auto"/>
              </w:rPr>
            </w:pPr>
          </w:p>
        </w:tc>
        <w:tc>
          <w:tcPr>
            <w:tcW w:w="1960" w:type="dxa"/>
            <w:vAlign w:val="bottom"/>
            <w:tcBorders>
              <w:bottom w:val="single" w:sz="8" w:color="0033A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940" w:type="dxa"/>
            <w:vAlign w:val="bottom"/>
          </w:tcPr>
          <w:p>
            <w:pPr>
              <w:ind w:left="500"/>
              <w:spacing w:after="0"/>
              <w:rPr>
                <w:sz w:val="20"/>
                <w:szCs w:val="20"/>
                <w:color w:val="auto"/>
              </w:rPr>
            </w:pPr>
            <w:r>
              <w:rPr>
                <w:rFonts w:ascii="Arial" w:cs="Arial" w:eastAsia="Arial" w:hAnsi="Arial"/>
                <w:sz w:val="18"/>
                <w:szCs w:val="18"/>
                <w:color w:val="auto"/>
              </w:rPr>
              <w:t>The E.W. Scripps Company</w:t>
            </w:r>
          </w:p>
        </w:tc>
        <w:tc>
          <w:tcPr>
            <w:tcW w:w="6340" w:type="dxa"/>
            <w:vAlign w:val="bottom"/>
          </w:tcPr>
          <w:p>
            <w:pPr>
              <w:ind w:left="2760"/>
              <w:spacing w:after="0"/>
              <w:rPr>
                <w:sz w:val="20"/>
                <w:szCs w:val="20"/>
                <w:color w:val="auto"/>
              </w:rPr>
            </w:pPr>
            <w:r>
              <w:rPr>
                <w:rFonts w:ascii="Arial" w:cs="Arial" w:eastAsia="Arial" w:hAnsi="Arial"/>
                <w:sz w:val="25"/>
                <w:szCs w:val="25"/>
                <w:b w:val="1"/>
                <w:bCs w:val="1"/>
                <w:color w:val="0033A0"/>
              </w:rPr>
              <w:t>36</w:t>
            </w:r>
          </w:p>
        </w:tc>
        <w:tc>
          <w:tcPr>
            <w:tcW w:w="1980" w:type="dxa"/>
            <w:vAlign w:val="bottom"/>
            <w:gridSpan w:val="2"/>
          </w:tcPr>
          <w:p>
            <w:pPr>
              <w:ind w:left="360"/>
              <w:spacing w:after="0"/>
              <w:rPr>
                <w:sz w:val="20"/>
                <w:szCs w:val="20"/>
                <w:color w:val="auto"/>
              </w:rPr>
            </w:pPr>
            <w:r>
              <w:rPr>
                <w:rFonts w:ascii="Arial" w:cs="Arial" w:eastAsia="Arial" w:hAnsi="Arial"/>
                <w:sz w:val="18"/>
                <w:szCs w:val="18"/>
                <w:color w:val="auto"/>
                <w:w w:val="89"/>
              </w:rPr>
              <w:t>2020 Proxy Statement</w:t>
            </w:r>
          </w:p>
        </w:tc>
        <w:tc>
          <w:tcPr>
            <w:tcW w:w="0" w:type="dxa"/>
            <w:vAlign w:val="bottom"/>
          </w:tcPr>
          <w:p>
            <w:pPr>
              <w:spacing w:after="0"/>
              <w:rPr>
                <w:sz w:val="1"/>
                <w:szCs w:val="1"/>
                <w:color w:val="auto"/>
              </w:rPr>
            </w:pPr>
          </w:p>
        </w:tc>
      </w:tr>
      <w:tr>
        <w:trPr>
          <w:trHeight w:val="255"/>
        </w:trPr>
        <w:tc>
          <w:tcPr>
            <w:tcW w:w="2940" w:type="dxa"/>
            <w:vAlign w:val="bottom"/>
            <w:tcBorders>
              <w:bottom w:val="single" w:sz="8" w:color="9A9A9A"/>
            </w:tcBorders>
          </w:tcPr>
          <w:p>
            <w:pPr>
              <w:spacing w:after="0"/>
              <w:rPr>
                <w:sz w:val="22"/>
                <w:szCs w:val="22"/>
                <w:color w:val="auto"/>
              </w:rPr>
            </w:pPr>
          </w:p>
        </w:tc>
        <w:tc>
          <w:tcPr>
            <w:tcW w:w="6340" w:type="dxa"/>
            <w:vAlign w:val="bottom"/>
            <w:tcBorders>
              <w:bottom w:val="single" w:sz="8" w:color="9A9A9A"/>
            </w:tcBorders>
          </w:tcPr>
          <w:p>
            <w:pPr>
              <w:spacing w:after="0"/>
              <w:rPr>
                <w:sz w:val="22"/>
                <w:szCs w:val="22"/>
                <w:color w:val="auto"/>
              </w:rPr>
            </w:pPr>
          </w:p>
        </w:tc>
        <w:tc>
          <w:tcPr>
            <w:tcW w:w="19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20574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673"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Based on the performance results as outlined in the tables immediately above, the blended payout level for each named executive officer under the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STI program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Borders>
              <w:top w:val="single" w:sz="8" w:color="BFBFBF"/>
              <w:bottom w:val="single" w:sz="8" w:color="BFBFBF"/>
            </w:tcBorders>
            <w:shd w:val="clear" w:color="auto" w:fill="E6E6E6"/>
          </w:tcPr>
          <w:p>
            <w:pPr>
              <w:ind w:left="140"/>
              <w:spacing w:after="0"/>
              <w:rPr>
                <w:sz w:val="20"/>
                <w:szCs w:val="20"/>
                <w:color w:val="auto"/>
              </w:rPr>
            </w:pPr>
            <w:r>
              <w:rPr>
                <w:rFonts w:ascii="Arial" w:cs="Arial" w:eastAsia="Arial" w:hAnsi="Arial"/>
                <w:sz w:val="14"/>
                <w:szCs w:val="14"/>
                <w:b w:val="1"/>
                <w:bCs w:val="1"/>
                <w:color w:val="0033A0"/>
              </w:rPr>
              <w:t>Name</w:t>
            </w:r>
          </w:p>
        </w:tc>
        <w:tc>
          <w:tcPr>
            <w:tcW w:w="6020" w:type="dxa"/>
            <w:vAlign w:val="bottom"/>
            <w:tcBorders>
              <w:top w:val="single" w:sz="8" w:color="BFBFBF"/>
              <w:bottom w:val="single" w:sz="8" w:color="BFBFBF"/>
            </w:tcBorders>
            <w:shd w:val="clear" w:color="auto" w:fill="E6E6E6"/>
          </w:tcPr>
          <w:p>
            <w:pPr>
              <w:jc w:val="center"/>
              <w:ind w:left="3721"/>
              <w:spacing w:after="0"/>
              <w:rPr>
                <w:sz w:val="20"/>
                <w:szCs w:val="20"/>
                <w:color w:val="auto"/>
              </w:rPr>
            </w:pPr>
            <w:r>
              <w:rPr>
                <w:rFonts w:ascii="Arial" w:cs="Arial" w:eastAsia="Arial" w:hAnsi="Arial"/>
                <w:sz w:val="14"/>
                <w:szCs w:val="14"/>
                <w:b w:val="1"/>
                <w:bCs w:val="1"/>
                <w:color w:val="0033A0"/>
                <w:w w:val="93"/>
              </w:rPr>
              <w:t>2020 STI Payout Percentage</w:t>
            </w:r>
          </w:p>
        </w:tc>
      </w:tr>
      <w:tr>
        <w:trPr>
          <w:trHeight w:val="229"/>
        </w:trPr>
        <w:tc>
          <w:tcPr>
            <w:tcW w:w="5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6020" w:type="dxa"/>
            <w:vAlign w:val="bottom"/>
            <w:tcBorders>
              <w:bottom w:val="single" w:sz="8" w:color="BFBFBF"/>
            </w:tcBorders>
          </w:tcPr>
          <w:p>
            <w:pPr>
              <w:jc w:val="center"/>
              <w:ind w:left="3721"/>
              <w:spacing w:after="0"/>
              <w:rPr>
                <w:sz w:val="20"/>
                <w:szCs w:val="20"/>
                <w:color w:val="auto"/>
              </w:rPr>
            </w:pPr>
            <w:r>
              <w:rPr>
                <w:rFonts w:ascii="Arial" w:cs="Arial" w:eastAsia="Arial" w:hAnsi="Arial"/>
                <w:sz w:val="16"/>
                <w:szCs w:val="16"/>
                <w:color w:val="auto"/>
                <w:w w:val="91"/>
              </w:rPr>
              <w:t>115.50%</w:t>
            </w:r>
          </w:p>
        </w:tc>
      </w:tr>
      <w:tr>
        <w:trPr>
          <w:trHeight w:val="223"/>
        </w:trPr>
        <w:tc>
          <w:tcPr>
            <w:tcW w:w="522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Ms. Knutson</w:t>
            </w:r>
          </w:p>
        </w:tc>
        <w:tc>
          <w:tcPr>
            <w:tcW w:w="6020" w:type="dxa"/>
            <w:vAlign w:val="bottom"/>
            <w:tcBorders>
              <w:bottom w:val="single" w:sz="8" w:color="BFBFBF"/>
            </w:tcBorders>
            <w:shd w:val="clear" w:color="auto" w:fill="F2F2F2"/>
          </w:tcPr>
          <w:p>
            <w:pPr>
              <w:jc w:val="center"/>
              <w:ind w:left="3721"/>
              <w:spacing w:after="0"/>
              <w:rPr>
                <w:sz w:val="20"/>
                <w:szCs w:val="20"/>
                <w:color w:val="auto"/>
              </w:rPr>
            </w:pPr>
            <w:r>
              <w:rPr>
                <w:rFonts w:ascii="Arial" w:cs="Arial" w:eastAsia="Arial" w:hAnsi="Arial"/>
                <w:sz w:val="16"/>
                <w:szCs w:val="16"/>
                <w:color w:val="auto"/>
                <w:w w:val="91"/>
              </w:rPr>
              <w:t>115.50%</w:t>
            </w:r>
          </w:p>
        </w:tc>
      </w:tr>
      <w:tr>
        <w:trPr>
          <w:trHeight w:val="223"/>
        </w:trPr>
        <w:tc>
          <w:tcPr>
            <w:tcW w:w="5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6020" w:type="dxa"/>
            <w:vAlign w:val="bottom"/>
            <w:tcBorders>
              <w:bottom w:val="single" w:sz="8" w:color="BFBFBF"/>
            </w:tcBorders>
          </w:tcPr>
          <w:p>
            <w:pPr>
              <w:jc w:val="center"/>
              <w:ind w:left="3721"/>
              <w:spacing w:after="0"/>
              <w:rPr>
                <w:sz w:val="20"/>
                <w:szCs w:val="20"/>
                <w:color w:val="auto"/>
              </w:rPr>
            </w:pPr>
            <w:r>
              <w:rPr>
                <w:rFonts w:ascii="Arial" w:cs="Arial" w:eastAsia="Arial" w:hAnsi="Arial"/>
                <w:sz w:val="16"/>
                <w:szCs w:val="16"/>
                <w:color w:val="auto"/>
                <w:w w:val="91"/>
              </w:rPr>
              <w:t>115.75%</w:t>
            </w:r>
          </w:p>
        </w:tc>
      </w:tr>
      <w:tr>
        <w:trPr>
          <w:trHeight w:val="223"/>
        </w:trPr>
        <w:tc>
          <w:tcPr>
            <w:tcW w:w="522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Mr. Appleton</w:t>
            </w:r>
          </w:p>
        </w:tc>
        <w:tc>
          <w:tcPr>
            <w:tcW w:w="6020" w:type="dxa"/>
            <w:vAlign w:val="bottom"/>
            <w:tcBorders>
              <w:bottom w:val="single" w:sz="8" w:color="BFBFBF"/>
            </w:tcBorders>
            <w:shd w:val="clear" w:color="auto" w:fill="F2F2F2"/>
          </w:tcPr>
          <w:p>
            <w:pPr>
              <w:jc w:val="center"/>
              <w:ind w:left="3721"/>
              <w:spacing w:after="0"/>
              <w:rPr>
                <w:sz w:val="20"/>
                <w:szCs w:val="20"/>
                <w:color w:val="auto"/>
              </w:rPr>
            </w:pPr>
            <w:r>
              <w:rPr>
                <w:rFonts w:ascii="Arial" w:cs="Arial" w:eastAsia="Arial" w:hAnsi="Arial"/>
                <w:sz w:val="16"/>
                <w:szCs w:val="16"/>
                <w:color w:val="auto"/>
                <w:w w:val="91"/>
              </w:rPr>
              <w:t>115.50%</w:t>
            </w:r>
          </w:p>
        </w:tc>
      </w:tr>
      <w:tr>
        <w:trPr>
          <w:trHeight w:val="230"/>
        </w:trPr>
        <w:tc>
          <w:tcPr>
            <w:tcW w:w="5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6020" w:type="dxa"/>
            <w:vAlign w:val="bottom"/>
            <w:tcBorders>
              <w:bottom w:val="single" w:sz="8" w:color="BFBFBF"/>
            </w:tcBorders>
          </w:tcPr>
          <w:p>
            <w:pPr>
              <w:jc w:val="center"/>
              <w:ind w:left="3721"/>
              <w:spacing w:after="0"/>
              <w:rPr>
                <w:sz w:val="20"/>
                <w:szCs w:val="20"/>
                <w:color w:val="auto"/>
              </w:rPr>
            </w:pPr>
            <w:r>
              <w:rPr>
                <w:rFonts w:ascii="Arial" w:cs="Arial" w:eastAsia="Arial" w:hAnsi="Arial"/>
                <w:sz w:val="16"/>
                <w:szCs w:val="16"/>
                <w:color w:val="auto"/>
                <w:w w:val="91"/>
              </w:rPr>
              <w:t>103.00%</w:t>
            </w:r>
          </w:p>
        </w:tc>
      </w:tr>
    </w:tbl>
    <w:p>
      <w:pPr>
        <w:spacing w:after="0" w:line="3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more information on the 2020 STI opportunities for our named executive officers, please refer to the “2020 Grants of Plan-Based Awards” section of this Proxy Statement. The amount of the STI earned for 2020 is set forth in the Non-Equity Incentive Plan Compensation column of the “2020 Summary Compensation Table” of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Long-Term Incentive</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Committee believes that a competitive LTI program is an important component of total compensation because it: (i) enhances the retentive value of our compensation; (ii) rewards executives for increasing our stock price and developing long-term value; and (iii) provides executives with an opportunity for stock ownership to align their interests with those of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Opportunities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2020, the LTI opportunities for our named executive officers were adjusted to bring their total direct compensation opportunity closer to the market median of the compensation peer group.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tcBorders>
              <w:top w:val="single" w:sz="8" w:color="BFBFBF"/>
            </w:tcBorders>
            <w:vMerge w:val="restart"/>
            <w:shd w:val="clear" w:color="auto" w:fill="E6E6E6"/>
          </w:tcPr>
          <w:p>
            <w:pPr>
              <w:spacing w:after="0"/>
              <w:rPr>
                <w:sz w:val="20"/>
                <w:szCs w:val="20"/>
                <w:color w:val="auto"/>
              </w:rPr>
            </w:pPr>
            <w:r>
              <w:rPr>
                <w:rFonts w:ascii="Arial" w:cs="Arial" w:eastAsia="Arial" w:hAnsi="Arial"/>
                <w:sz w:val="14"/>
                <w:szCs w:val="14"/>
                <w:b w:val="1"/>
                <w:bCs w:val="1"/>
                <w:color w:val="0033A0"/>
              </w:rPr>
              <w:t>Name</w:t>
            </w:r>
          </w:p>
        </w:tc>
        <w:tc>
          <w:tcPr>
            <w:tcW w:w="2760" w:type="dxa"/>
            <w:vAlign w:val="bottom"/>
            <w:tcBorders>
              <w:top w:val="single" w:sz="8" w:color="BFBFBF"/>
            </w:tcBorders>
            <w:shd w:val="clear" w:color="auto" w:fill="E6E6E6"/>
          </w:tcPr>
          <w:p>
            <w:pPr>
              <w:spacing w:after="0"/>
              <w:rPr>
                <w:sz w:val="14"/>
                <w:szCs w:val="14"/>
                <w:color w:val="auto"/>
              </w:rPr>
            </w:pPr>
          </w:p>
        </w:tc>
        <w:tc>
          <w:tcPr>
            <w:tcW w:w="2580" w:type="dxa"/>
            <w:vAlign w:val="bottom"/>
            <w:tcBorders>
              <w:top w:val="single" w:sz="8" w:color="BFBFBF"/>
            </w:tcBorders>
            <w:gridSpan w:val="2"/>
            <w:vMerge w:val="restart"/>
            <w:shd w:val="clear" w:color="auto" w:fill="E6E6E6"/>
          </w:tcPr>
          <w:p>
            <w:pPr>
              <w:jc w:val="right"/>
              <w:ind w:right="139"/>
              <w:spacing w:after="0"/>
              <w:rPr>
                <w:sz w:val="20"/>
                <w:szCs w:val="20"/>
                <w:color w:val="auto"/>
              </w:rPr>
            </w:pPr>
            <w:r>
              <w:rPr>
                <w:rFonts w:ascii="Arial" w:cs="Arial" w:eastAsia="Arial" w:hAnsi="Arial"/>
                <w:sz w:val="14"/>
                <w:szCs w:val="14"/>
                <w:b w:val="1"/>
                <w:bCs w:val="1"/>
                <w:color w:val="0033A0"/>
              </w:rPr>
              <w:t>2020 LTI Opportunity</w:t>
            </w:r>
          </w:p>
        </w:tc>
        <w:tc>
          <w:tcPr>
            <w:tcW w:w="240" w:type="dxa"/>
            <w:vAlign w:val="bottom"/>
            <w:tcBorders>
              <w:top w:val="single" w:sz="8" w:color="BFBFBF"/>
            </w:tcBorders>
            <w:shd w:val="clear" w:color="auto" w:fill="E6E6E6"/>
          </w:tcPr>
          <w:p>
            <w:pPr>
              <w:spacing w:after="0"/>
              <w:rPr>
                <w:sz w:val="14"/>
                <w:szCs w:val="14"/>
                <w:color w:val="auto"/>
              </w:rPr>
            </w:pPr>
          </w:p>
        </w:tc>
        <w:tc>
          <w:tcPr>
            <w:tcW w:w="1560" w:type="dxa"/>
            <w:vAlign w:val="bottom"/>
            <w:tcBorders>
              <w:top w:val="single" w:sz="8" w:color="BFBFBF"/>
            </w:tcBorders>
            <w:shd w:val="clear" w:color="auto" w:fill="E6E6E6"/>
          </w:tcPr>
          <w:p>
            <w:pPr>
              <w:jc w:val="right"/>
              <w:ind w:right="142"/>
              <w:spacing w:after="0"/>
              <w:rPr>
                <w:sz w:val="20"/>
                <w:szCs w:val="20"/>
                <w:color w:val="auto"/>
              </w:rPr>
            </w:pPr>
            <w:r>
              <w:rPr>
                <w:rFonts w:ascii="Arial" w:cs="Arial" w:eastAsia="Arial" w:hAnsi="Arial"/>
                <w:sz w:val="14"/>
                <w:szCs w:val="14"/>
                <w:b w:val="1"/>
                <w:bCs w:val="1"/>
                <w:color w:val="0033A0"/>
                <w:w w:val="94"/>
              </w:rPr>
              <w:t>Change in LTI 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100" w:type="dxa"/>
            <w:vAlign w:val="bottom"/>
            <w:tcBorders>
              <w:bottom w:val="single" w:sz="8" w:color="BFBFBF"/>
            </w:tcBorders>
            <w:vMerge w:val="continue"/>
            <w:shd w:val="clear" w:color="auto" w:fill="E6E6E6"/>
          </w:tcPr>
          <w:p>
            <w:pPr>
              <w:spacing w:after="0"/>
              <w:rPr>
                <w:sz w:val="15"/>
                <w:szCs w:val="15"/>
                <w:color w:val="auto"/>
              </w:rPr>
            </w:pPr>
          </w:p>
        </w:tc>
        <w:tc>
          <w:tcPr>
            <w:tcW w:w="2760" w:type="dxa"/>
            <w:vAlign w:val="bottom"/>
            <w:tcBorders>
              <w:bottom w:val="single" w:sz="8" w:color="BFBFBF"/>
            </w:tcBorders>
            <w:shd w:val="clear" w:color="auto" w:fill="E6E6E6"/>
          </w:tcPr>
          <w:p>
            <w:pPr>
              <w:spacing w:after="0"/>
              <w:rPr>
                <w:sz w:val="15"/>
                <w:szCs w:val="15"/>
                <w:color w:val="auto"/>
              </w:rPr>
            </w:pPr>
          </w:p>
        </w:tc>
        <w:tc>
          <w:tcPr>
            <w:tcW w:w="2580" w:type="dxa"/>
            <w:vAlign w:val="bottom"/>
            <w:tcBorders>
              <w:bottom w:val="single" w:sz="8" w:color="BFBFBF"/>
            </w:tcBorders>
            <w:gridSpan w:val="2"/>
            <w:vMerge w:val="continue"/>
            <w:shd w:val="clear" w:color="auto" w:fill="E6E6E6"/>
          </w:tcPr>
          <w:p>
            <w:pPr>
              <w:spacing w:after="0"/>
              <w:rPr>
                <w:sz w:val="15"/>
                <w:szCs w:val="15"/>
                <w:color w:val="auto"/>
              </w:rPr>
            </w:pPr>
          </w:p>
        </w:tc>
        <w:tc>
          <w:tcPr>
            <w:tcW w:w="240" w:type="dxa"/>
            <w:vAlign w:val="bottom"/>
            <w:tcBorders>
              <w:bottom w:val="single" w:sz="8" w:color="BFBFBF"/>
            </w:tcBorders>
            <w:shd w:val="clear" w:color="auto" w:fill="E6E6E6"/>
          </w:tcPr>
          <w:p>
            <w:pPr>
              <w:spacing w:after="0"/>
              <w:rPr>
                <w:sz w:val="15"/>
                <w:szCs w:val="15"/>
                <w:color w:val="auto"/>
              </w:rPr>
            </w:pPr>
          </w:p>
        </w:tc>
        <w:tc>
          <w:tcPr>
            <w:tcW w:w="1560" w:type="dxa"/>
            <w:vAlign w:val="bottom"/>
            <w:tcBorders>
              <w:bottom w:val="single" w:sz="8" w:color="BFBFBF"/>
            </w:tcBorders>
            <w:shd w:val="clear" w:color="auto" w:fill="E6E6E6"/>
          </w:tcPr>
          <w:p>
            <w:pPr>
              <w:jc w:val="right"/>
              <w:ind w:right="422"/>
              <w:spacing w:after="0"/>
              <w:rPr>
                <w:sz w:val="20"/>
                <w:szCs w:val="20"/>
                <w:color w:val="auto"/>
              </w:rPr>
            </w:pPr>
            <w:r>
              <w:rPr>
                <w:rFonts w:ascii="Arial" w:cs="Arial" w:eastAsia="Arial" w:hAnsi="Arial"/>
                <w:sz w:val="14"/>
                <w:szCs w:val="14"/>
                <w:b w:val="1"/>
                <w:bCs w:val="1"/>
                <w:color w:val="0033A0"/>
              </w:rPr>
              <w:t>Opportunity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2760" w:type="dxa"/>
            <w:vAlign w:val="bottom"/>
            <w:tcBorders>
              <w:bottom w:val="single" w:sz="8" w:color="BFBFBF"/>
            </w:tcBorders>
          </w:tcPr>
          <w:p>
            <w:pPr>
              <w:spacing w:after="0"/>
              <w:rPr>
                <w:sz w:val="19"/>
                <w:szCs w:val="19"/>
                <w:color w:val="auto"/>
              </w:rPr>
            </w:pPr>
          </w:p>
        </w:tc>
        <w:tc>
          <w:tcPr>
            <w:tcW w:w="1400" w:type="dxa"/>
            <w:vAlign w:val="bottom"/>
            <w:tcBorders>
              <w:bottom w:val="single" w:sz="8" w:color="BFBFBF"/>
            </w:tcBorders>
          </w:tcPr>
          <w:p>
            <w:pPr>
              <w:jc w:val="right"/>
              <w:ind w:right="3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2,700,000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FBFBF"/>
            </w:tcBorders>
          </w:tcPr>
          <w:p>
            <w:pPr>
              <w:jc w:val="right"/>
              <w:ind w:right="42"/>
              <w:spacing w:after="0"/>
              <w:rPr>
                <w:sz w:val="20"/>
                <w:szCs w:val="20"/>
                <w:color w:val="auto"/>
              </w:rPr>
            </w:pPr>
            <w:r>
              <w:rPr>
                <w:rFonts w:ascii="Arial" w:cs="Arial" w:eastAsia="Arial" w:hAnsi="Arial"/>
                <w:sz w:val="16"/>
                <w:szCs w:val="16"/>
                <w:color w:val="auto"/>
              </w:rPr>
              <w:t>700,000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Ms. Knutson</w:t>
            </w:r>
          </w:p>
        </w:tc>
        <w:tc>
          <w:tcPr>
            <w:tcW w:w="2760" w:type="dxa"/>
            <w:vAlign w:val="bottom"/>
            <w:tcBorders>
              <w:bottom w:val="single" w:sz="8" w:color="BFBFBF"/>
            </w:tcBorders>
            <w:shd w:val="clear" w:color="auto" w:fill="F2F2F2"/>
          </w:tcPr>
          <w:p>
            <w:pPr>
              <w:spacing w:after="0"/>
              <w:rPr>
                <w:sz w:val="19"/>
                <w:szCs w:val="19"/>
                <w:color w:val="auto"/>
              </w:rPr>
            </w:pPr>
          </w:p>
        </w:tc>
        <w:tc>
          <w:tcPr>
            <w:tcW w:w="1400" w:type="dxa"/>
            <w:vAlign w:val="bottom"/>
            <w:tcBorders>
              <w:bottom w:val="single" w:sz="8" w:color="BFBFBF"/>
            </w:tcBorders>
            <w:shd w:val="clear" w:color="auto" w:fill="F2F2F2"/>
          </w:tcPr>
          <w:p>
            <w:pPr>
              <w:jc w:val="right"/>
              <w:ind w:right="3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shd w:val="clear" w:color="auto" w:fill="F2F2F2"/>
          </w:tcPr>
          <w:p>
            <w:pPr>
              <w:jc w:val="right"/>
              <w:ind w:right="59"/>
              <w:spacing w:after="0"/>
              <w:rPr>
                <w:sz w:val="20"/>
                <w:szCs w:val="20"/>
                <w:color w:val="auto"/>
              </w:rPr>
            </w:pPr>
            <w:r>
              <w:rPr>
                <w:rFonts w:ascii="Arial" w:cs="Arial" w:eastAsia="Arial" w:hAnsi="Arial"/>
                <w:sz w:val="16"/>
                <w:szCs w:val="16"/>
                <w:color w:val="auto"/>
              </w:rPr>
              <w:t>550,000</w:t>
            </w:r>
          </w:p>
        </w:tc>
        <w:tc>
          <w:tcPr>
            <w:tcW w:w="24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(85,000)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2760" w:type="dxa"/>
            <w:vAlign w:val="bottom"/>
            <w:tcBorders>
              <w:bottom w:val="single" w:sz="8" w:color="BFBFBF"/>
            </w:tcBorders>
          </w:tcPr>
          <w:p>
            <w:pPr>
              <w:spacing w:after="0"/>
              <w:rPr>
                <w:sz w:val="19"/>
                <w:szCs w:val="19"/>
                <w:color w:val="auto"/>
              </w:rPr>
            </w:pPr>
          </w:p>
        </w:tc>
        <w:tc>
          <w:tcPr>
            <w:tcW w:w="1400" w:type="dxa"/>
            <w:vAlign w:val="bottom"/>
            <w:tcBorders>
              <w:bottom w:val="single" w:sz="8" w:color="BFBFBF"/>
            </w:tcBorders>
          </w:tcPr>
          <w:p>
            <w:pPr>
              <w:jc w:val="right"/>
              <w:ind w:right="3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600,000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b w:val="1"/>
                <w:bCs w:val="1"/>
                <w:color w:val="0033A0"/>
              </w:rPr>
              <w:t>Mr. Appleton</w:t>
            </w:r>
          </w:p>
        </w:tc>
        <w:tc>
          <w:tcPr>
            <w:tcW w:w="2760" w:type="dxa"/>
            <w:vAlign w:val="bottom"/>
            <w:tcBorders>
              <w:bottom w:val="single" w:sz="8" w:color="BFBFBF"/>
            </w:tcBorders>
            <w:shd w:val="clear" w:color="auto" w:fill="F2F2F2"/>
          </w:tcPr>
          <w:p>
            <w:pPr>
              <w:spacing w:after="0"/>
              <w:rPr>
                <w:sz w:val="19"/>
                <w:szCs w:val="19"/>
                <w:color w:val="auto"/>
              </w:rPr>
            </w:pPr>
          </w:p>
        </w:tc>
        <w:tc>
          <w:tcPr>
            <w:tcW w:w="1400" w:type="dxa"/>
            <w:vAlign w:val="bottom"/>
            <w:tcBorders>
              <w:bottom w:val="single" w:sz="8" w:color="BFBFBF"/>
            </w:tcBorders>
            <w:shd w:val="clear" w:color="auto" w:fill="F2F2F2"/>
          </w:tcPr>
          <w:p>
            <w:pPr>
              <w:jc w:val="right"/>
              <w:ind w:right="3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shd w:val="clear" w:color="auto" w:fill="F2F2F2"/>
          </w:tcPr>
          <w:p>
            <w:pPr>
              <w:jc w:val="right"/>
              <w:ind w:right="59"/>
              <w:spacing w:after="0"/>
              <w:rPr>
                <w:sz w:val="20"/>
                <w:szCs w:val="20"/>
                <w:color w:val="auto"/>
              </w:rPr>
            </w:pPr>
            <w:r>
              <w:rPr>
                <w:rFonts w:ascii="Arial" w:cs="Arial" w:eastAsia="Arial" w:hAnsi="Arial"/>
                <w:sz w:val="16"/>
                <w:szCs w:val="16"/>
                <w:color w:val="auto"/>
              </w:rPr>
              <w:t>510,000</w:t>
            </w:r>
          </w:p>
        </w:tc>
        <w:tc>
          <w:tcPr>
            <w:tcW w:w="24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FBFBF"/>
            </w:tcBorders>
            <w:shd w:val="clear" w:color="auto" w:fill="F2F2F2"/>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2760" w:type="dxa"/>
            <w:vAlign w:val="bottom"/>
            <w:tcBorders>
              <w:bottom w:val="single" w:sz="8" w:color="BFBFBF"/>
            </w:tcBorders>
          </w:tcPr>
          <w:p>
            <w:pPr>
              <w:spacing w:after="0"/>
              <w:rPr>
                <w:sz w:val="20"/>
                <w:szCs w:val="20"/>
                <w:color w:val="auto"/>
              </w:rPr>
            </w:pPr>
          </w:p>
        </w:tc>
        <w:tc>
          <w:tcPr>
            <w:tcW w:w="1400" w:type="dxa"/>
            <w:vAlign w:val="bottom"/>
            <w:tcBorders>
              <w:bottom w:val="single" w:sz="8" w:color="BFBFBF"/>
            </w:tcBorders>
          </w:tcPr>
          <w:p>
            <w:pPr>
              <w:jc w:val="right"/>
              <w:ind w:right="3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375,000</w:t>
            </w:r>
          </w:p>
        </w:tc>
        <w:tc>
          <w:tcPr>
            <w:tcW w:w="24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FBFBF"/>
            </w:tcBorders>
          </w:tcPr>
          <w:p>
            <w:pPr>
              <w:jc w:val="right"/>
              <w:ind w:right="42"/>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100" w:type="dxa"/>
            <w:vAlign w:val="bottom"/>
            <w:tcBorders>
              <w:bottom w:val="single" w:sz="8" w:color="0033A0"/>
            </w:tcBorders>
          </w:tcPr>
          <w:p>
            <w:pPr>
              <w:spacing w:after="0"/>
              <w:rPr>
                <w:sz w:val="24"/>
                <w:szCs w:val="24"/>
                <w:color w:val="auto"/>
              </w:rPr>
            </w:pPr>
          </w:p>
        </w:tc>
        <w:tc>
          <w:tcPr>
            <w:tcW w:w="2760" w:type="dxa"/>
            <w:vAlign w:val="bottom"/>
            <w:tcBorders>
              <w:bottom w:val="single" w:sz="8" w:color="0033A0"/>
            </w:tcBorders>
          </w:tcPr>
          <w:p>
            <w:pPr>
              <w:spacing w:after="0"/>
              <w:rPr>
                <w:sz w:val="24"/>
                <w:szCs w:val="24"/>
                <w:color w:val="auto"/>
              </w:rPr>
            </w:pPr>
          </w:p>
        </w:tc>
        <w:tc>
          <w:tcPr>
            <w:tcW w:w="1400" w:type="dxa"/>
            <w:vAlign w:val="bottom"/>
            <w:tcBorders>
              <w:bottom w:val="single" w:sz="8" w:color="0033A0"/>
            </w:tcBorders>
          </w:tcPr>
          <w:p>
            <w:pPr>
              <w:spacing w:after="0"/>
              <w:rPr>
                <w:sz w:val="24"/>
                <w:szCs w:val="24"/>
                <w:color w:val="auto"/>
              </w:rPr>
            </w:pPr>
          </w:p>
        </w:tc>
        <w:tc>
          <w:tcPr>
            <w:tcW w:w="1180" w:type="dxa"/>
            <w:vAlign w:val="bottom"/>
            <w:tcBorders>
              <w:bottom w:val="single" w:sz="8" w:color="0033A0"/>
            </w:tcBorders>
          </w:tcPr>
          <w:p>
            <w:pPr>
              <w:spacing w:after="0"/>
              <w:rPr>
                <w:sz w:val="24"/>
                <w:szCs w:val="24"/>
                <w:color w:val="auto"/>
              </w:rPr>
            </w:pPr>
          </w:p>
        </w:tc>
        <w:tc>
          <w:tcPr>
            <w:tcW w:w="1800" w:type="dxa"/>
            <w:vAlign w:val="bottom"/>
            <w:tcBorders>
              <w:bottom w:val="single" w:sz="8" w:color="0033A0"/>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100" w:type="dxa"/>
            <w:vAlign w:val="bottom"/>
          </w:tcPr>
          <w:p>
            <w:pPr>
              <w:ind w:left="500"/>
              <w:spacing w:after="0"/>
              <w:rPr>
                <w:sz w:val="20"/>
                <w:szCs w:val="20"/>
                <w:color w:val="auto"/>
              </w:rPr>
            </w:pPr>
            <w:r>
              <w:rPr>
                <w:rFonts w:ascii="Arial" w:cs="Arial" w:eastAsia="Arial" w:hAnsi="Arial"/>
                <w:sz w:val="18"/>
                <w:szCs w:val="18"/>
                <w:color w:val="auto"/>
              </w:rPr>
              <w:t>The E.W. Scripps Company</w:t>
            </w:r>
          </w:p>
        </w:tc>
        <w:tc>
          <w:tcPr>
            <w:tcW w:w="2760" w:type="dxa"/>
            <w:vAlign w:val="bottom"/>
          </w:tcPr>
          <w:p>
            <w:pPr>
              <w:jc w:val="right"/>
              <w:ind w:right="794"/>
              <w:spacing w:after="0"/>
              <w:rPr>
                <w:sz w:val="20"/>
                <w:szCs w:val="20"/>
                <w:color w:val="auto"/>
              </w:rPr>
            </w:pPr>
            <w:r>
              <w:rPr>
                <w:rFonts w:ascii="Arial" w:cs="Arial" w:eastAsia="Arial" w:hAnsi="Arial"/>
                <w:sz w:val="25"/>
                <w:szCs w:val="25"/>
                <w:b w:val="1"/>
                <w:bCs w:val="1"/>
                <w:color w:val="0033A0"/>
              </w:rPr>
              <w:t>37</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color w:val="auto"/>
                <w:w w:val="89"/>
              </w:rPr>
              <w:t>2020 Proxy Statement</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9A9A9A"/>
            </w:tcBorders>
          </w:tcPr>
          <w:p>
            <w:pPr>
              <w:spacing w:after="0"/>
              <w:rPr>
                <w:sz w:val="22"/>
                <w:szCs w:val="22"/>
                <w:color w:val="auto"/>
              </w:rPr>
            </w:pPr>
          </w:p>
        </w:tc>
        <w:tc>
          <w:tcPr>
            <w:tcW w:w="2760" w:type="dxa"/>
            <w:vAlign w:val="bottom"/>
            <w:tcBorders>
              <w:bottom w:val="single" w:sz="8" w:color="9A9A9A"/>
            </w:tcBorders>
          </w:tcPr>
          <w:p>
            <w:pPr>
              <w:spacing w:after="0"/>
              <w:rPr>
                <w:sz w:val="22"/>
                <w:szCs w:val="22"/>
                <w:color w:val="auto"/>
              </w:rPr>
            </w:pPr>
          </w:p>
        </w:tc>
        <w:tc>
          <w:tcPr>
            <w:tcW w:w="140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20574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7" w:name="page38"/>
    <w:bookmarkEnd w:id="37"/>
    <w:p>
      <w:pPr>
        <w:jc w:val="both"/>
        <w:spacing w:after="0" w:line="342" w:lineRule="auto"/>
        <w:rPr>
          <w:sz w:val="20"/>
          <w:szCs w:val="20"/>
          <w:color w:val="auto"/>
        </w:rPr>
      </w:pPr>
      <w:r>
        <w:rPr>
          <w:rFonts w:ascii="Arial" w:cs="Arial" w:eastAsia="Arial" w:hAnsi="Arial"/>
          <w:sz w:val="16"/>
          <w:szCs w:val="16"/>
          <w:color w:val="auto"/>
        </w:rPr>
        <w:t>Under the 2020 long-term incentive program, the LTI target opportunity was allocated between performance-based and time-based RSUs as follows, with the CEO being allocated a higher percentage of performance-based RSUs given his direct responsibility for the overall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797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797560"/>
                    </a:xfrm>
                    <a:prstGeom prst="rect">
                      <a:avLst/>
                    </a:prstGeom>
                    <a:noFill/>
                  </pic:spPr>
                </pic:pic>
              </a:graphicData>
            </a:graphic>
          </wp:anchor>
        </w:drawing>
      </w:r>
    </w:p>
    <w:p>
      <w:pPr>
        <w:spacing w:after="0" w:line="32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Allocation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2000" w:type="dxa"/>
            <w:vAlign w:val="bottom"/>
          </w:tcPr>
          <w:p>
            <w:pPr>
              <w:spacing w:after="0"/>
              <w:rPr>
                <w:sz w:val="20"/>
                <w:szCs w:val="20"/>
                <w:color w:val="auto"/>
              </w:rPr>
            </w:pPr>
            <w:r>
              <w:rPr>
                <w:rFonts w:ascii="Arial" w:cs="Arial" w:eastAsia="Arial" w:hAnsi="Arial"/>
                <w:sz w:val="18"/>
                <w:szCs w:val="18"/>
                <w:color w:val="auto"/>
              </w:rPr>
              <w:t>Award Type</w:t>
            </w:r>
          </w:p>
        </w:tc>
        <w:tc>
          <w:tcPr>
            <w:tcW w:w="1060" w:type="dxa"/>
            <w:vAlign w:val="bottom"/>
            <w:shd w:val="clear" w:color="auto" w:fill="E6E6E6"/>
          </w:tcPr>
          <w:p>
            <w:pPr>
              <w:ind w:left="360"/>
              <w:spacing w:after="0"/>
              <w:rPr>
                <w:sz w:val="20"/>
                <w:szCs w:val="20"/>
                <w:color w:val="auto"/>
              </w:rPr>
            </w:pPr>
            <w:r>
              <w:rPr>
                <w:rFonts w:ascii="Arial" w:cs="Arial" w:eastAsia="Arial" w:hAnsi="Arial"/>
                <w:sz w:val="18"/>
                <w:szCs w:val="18"/>
                <w:color w:val="auto"/>
              </w:rPr>
              <w:t>CEO</w:t>
            </w:r>
          </w:p>
        </w:tc>
        <w:tc>
          <w:tcPr>
            <w:tcW w:w="960" w:type="dxa"/>
            <w:vAlign w:val="bottom"/>
            <w:shd w:val="clear" w:color="auto" w:fill="E6E6E6"/>
          </w:tcPr>
          <w:p>
            <w:pPr>
              <w:jc w:val="center"/>
              <w:ind w:left="70"/>
              <w:spacing w:after="0"/>
              <w:rPr>
                <w:sz w:val="20"/>
                <w:szCs w:val="20"/>
                <w:color w:val="auto"/>
              </w:rPr>
            </w:pPr>
            <w:r>
              <w:rPr>
                <w:rFonts w:ascii="Arial" w:cs="Arial" w:eastAsia="Arial" w:hAnsi="Arial"/>
                <w:sz w:val="18"/>
                <w:szCs w:val="18"/>
                <w:color w:val="auto"/>
                <w:w w:val="88"/>
              </w:rPr>
              <w:t>Others</w:t>
            </w:r>
          </w:p>
        </w:tc>
        <w:tc>
          <w:tcPr>
            <w:tcW w:w="722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Brief Summary</w:t>
            </w:r>
          </w:p>
        </w:tc>
      </w:tr>
      <w:tr>
        <w:trPr>
          <w:trHeight w:val="229"/>
        </w:trPr>
        <w:tc>
          <w:tcPr>
            <w:tcW w:w="2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shd w:val="clear" w:color="auto" w:fill="E6E6E6"/>
          </w:tcPr>
          <w:p>
            <w:pPr>
              <w:spacing w:after="0"/>
              <w:rPr>
                <w:sz w:val="19"/>
                <w:szCs w:val="19"/>
                <w:color w:val="auto"/>
              </w:rPr>
            </w:pPr>
          </w:p>
        </w:tc>
        <w:tc>
          <w:tcPr>
            <w:tcW w:w="960" w:type="dxa"/>
            <w:vAlign w:val="bottom"/>
            <w:tcBorders>
              <w:bottom w:val="single" w:sz="8" w:color="auto"/>
            </w:tcBorders>
            <w:shd w:val="clear" w:color="auto" w:fill="E6E6E6"/>
          </w:tcPr>
          <w:p>
            <w:pPr>
              <w:spacing w:after="0"/>
              <w:rPr>
                <w:sz w:val="19"/>
                <w:szCs w:val="19"/>
                <w:color w:val="auto"/>
              </w:rPr>
            </w:pPr>
          </w:p>
        </w:tc>
        <w:tc>
          <w:tcPr>
            <w:tcW w:w="7220" w:type="dxa"/>
            <w:vAlign w:val="bottom"/>
            <w:tcBorders>
              <w:bottom w:val="single" w:sz="8" w:color="auto"/>
            </w:tcBorders>
            <w:shd w:val="clear" w:color="auto" w:fill="E6E6E6"/>
          </w:tcPr>
          <w:p>
            <w:pPr>
              <w:spacing w:after="0"/>
              <w:rPr>
                <w:sz w:val="19"/>
                <w:szCs w:val="19"/>
                <w:color w:val="auto"/>
              </w:rPr>
            </w:pPr>
          </w:p>
        </w:tc>
      </w:tr>
      <w:tr>
        <w:trPr>
          <w:trHeight w:val="195"/>
        </w:trPr>
        <w:tc>
          <w:tcPr>
            <w:tcW w:w="2000" w:type="dxa"/>
            <w:vAlign w:val="bottom"/>
          </w:tcPr>
          <w:p>
            <w:pPr>
              <w:spacing w:after="0" w:line="195" w:lineRule="exact"/>
              <w:rPr>
                <w:sz w:val="20"/>
                <w:szCs w:val="20"/>
                <w:color w:val="auto"/>
              </w:rPr>
            </w:pPr>
            <w:r>
              <w:rPr>
                <w:rFonts w:ascii="Arial" w:cs="Arial" w:eastAsia="Arial" w:hAnsi="Arial"/>
                <w:sz w:val="18"/>
                <w:szCs w:val="18"/>
                <w:color w:val="auto"/>
                <w:w w:val="93"/>
              </w:rPr>
              <w:t>Performance-Based RSUs</w:t>
            </w:r>
          </w:p>
        </w:tc>
        <w:tc>
          <w:tcPr>
            <w:tcW w:w="1060" w:type="dxa"/>
            <w:vAlign w:val="bottom"/>
          </w:tcPr>
          <w:p>
            <w:pPr>
              <w:ind w:left="380"/>
              <w:spacing w:after="0" w:line="195" w:lineRule="exact"/>
              <w:rPr>
                <w:sz w:val="20"/>
                <w:szCs w:val="20"/>
                <w:color w:val="auto"/>
              </w:rPr>
            </w:pPr>
            <w:r>
              <w:rPr>
                <w:rFonts w:ascii="Arial" w:cs="Arial" w:eastAsia="Arial" w:hAnsi="Arial"/>
                <w:sz w:val="18"/>
                <w:szCs w:val="18"/>
                <w:color w:val="auto"/>
              </w:rPr>
              <w:t>60%</w:t>
            </w:r>
          </w:p>
        </w:tc>
        <w:tc>
          <w:tcPr>
            <w:tcW w:w="96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4"/>
              </w:rPr>
              <w:t>40%</w:t>
            </w:r>
          </w:p>
        </w:tc>
        <w:tc>
          <w:tcPr>
            <w:tcW w:w="7220" w:type="dxa"/>
            <w:vAlign w:val="bottom"/>
          </w:tcPr>
          <w:p>
            <w:pPr>
              <w:ind w:left="140"/>
              <w:spacing w:after="0" w:line="195" w:lineRule="exact"/>
              <w:rPr>
                <w:sz w:val="20"/>
                <w:szCs w:val="20"/>
                <w:color w:val="auto"/>
              </w:rPr>
            </w:pPr>
            <w:r>
              <w:rPr>
                <w:rFonts w:ascii="Arial" w:cs="Arial" w:eastAsia="Arial" w:hAnsi="Arial"/>
                <w:sz w:val="18"/>
                <w:szCs w:val="18"/>
                <w:color w:val="auto"/>
              </w:rPr>
              <w:t>•   Earned based on achieving two equally-weighted performance goals under our STI</w:t>
            </w:r>
          </w:p>
        </w:tc>
      </w:tr>
      <w:tr>
        <w:trPr>
          <w:trHeight w:val="216"/>
        </w:trPr>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program: Company-wide free cash flow and revenue</w:t>
            </w:r>
          </w:p>
        </w:tc>
      </w:tr>
      <w:tr>
        <w:trPr>
          <w:trHeight w:val="216"/>
        </w:trPr>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20" w:type="dxa"/>
            <w:vAlign w:val="bottom"/>
          </w:tcPr>
          <w:p>
            <w:pPr>
              <w:ind w:left="140"/>
              <w:spacing w:after="0"/>
              <w:rPr>
                <w:sz w:val="20"/>
                <w:szCs w:val="20"/>
                <w:color w:val="auto"/>
              </w:rPr>
            </w:pPr>
            <w:r>
              <w:rPr>
                <w:rFonts w:ascii="Arial" w:cs="Arial" w:eastAsia="Arial" w:hAnsi="Arial"/>
                <w:sz w:val="18"/>
                <w:szCs w:val="18"/>
                <w:color w:val="auto"/>
                <w:w w:val="96"/>
              </w:rPr>
              <w:t>•   Any units earned based on performance results in four equal annual installments from the</w:t>
            </w:r>
          </w:p>
        </w:tc>
      </w:tr>
      <w:tr>
        <w:trPr>
          <w:trHeight w:val="230"/>
        </w:trPr>
        <w:tc>
          <w:tcPr>
            <w:tcW w:w="20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date of grant</w:t>
            </w:r>
          </w:p>
        </w:tc>
      </w:tr>
      <w:tr>
        <w:trPr>
          <w:trHeight w:val="224"/>
        </w:trPr>
        <w:tc>
          <w:tcPr>
            <w:tcW w:w="2000" w:type="dxa"/>
            <w:vAlign w:val="bottom"/>
          </w:tcPr>
          <w:p>
            <w:pPr>
              <w:spacing w:after="0"/>
              <w:rPr>
                <w:sz w:val="20"/>
                <w:szCs w:val="20"/>
                <w:color w:val="auto"/>
              </w:rPr>
            </w:pPr>
            <w:r>
              <w:rPr>
                <w:rFonts w:ascii="Arial" w:cs="Arial" w:eastAsia="Arial" w:hAnsi="Arial"/>
                <w:sz w:val="18"/>
                <w:szCs w:val="18"/>
                <w:color w:val="auto"/>
              </w:rPr>
              <w:t>Time-Based RSUs</w:t>
            </w:r>
          </w:p>
        </w:tc>
        <w:tc>
          <w:tcPr>
            <w:tcW w:w="1060" w:type="dxa"/>
            <w:vAlign w:val="bottom"/>
          </w:tcPr>
          <w:p>
            <w:pPr>
              <w:ind w:left="380"/>
              <w:spacing w:after="0"/>
              <w:rPr>
                <w:sz w:val="20"/>
                <w:szCs w:val="20"/>
                <w:color w:val="auto"/>
              </w:rPr>
            </w:pPr>
            <w:r>
              <w:rPr>
                <w:rFonts w:ascii="Arial" w:cs="Arial" w:eastAsia="Arial" w:hAnsi="Arial"/>
                <w:sz w:val="18"/>
                <w:szCs w:val="18"/>
                <w:color w:val="auto"/>
              </w:rPr>
              <w:t>40%</w:t>
            </w:r>
          </w:p>
        </w:tc>
        <w:tc>
          <w:tcPr>
            <w:tcW w:w="960" w:type="dxa"/>
            <w:vAlign w:val="bottom"/>
          </w:tcPr>
          <w:p>
            <w:pPr>
              <w:jc w:val="center"/>
              <w:ind w:left="90"/>
              <w:spacing w:after="0"/>
              <w:rPr>
                <w:sz w:val="20"/>
                <w:szCs w:val="20"/>
                <w:color w:val="auto"/>
              </w:rPr>
            </w:pPr>
            <w:r>
              <w:rPr>
                <w:rFonts w:ascii="Arial" w:cs="Arial" w:eastAsia="Arial" w:hAnsi="Arial"/>
                <w:sz w:val="18"/>
                <w:szCs w:val="18"/>
                <w:color w:val="auto"/>
                <w:w w:val="94"/>
              </w:rPr>
              <w:t>60%</w:t>
            </w:r>
          </w:p>
        </w:tc>
        <w:tc>
          <w:tcPr>
            <w:tcW w:w="7220" w:type="dxa"/>
            <w:vAlign w:val="bottom"/>
          </w:tcPr>
          <w:p>
            <w:pPr>
              <w:ind w:left="140"/>
              <w:spacing w:after="0"/>
              <w:rPr>
                <w:sz w:val="20"/>
                <w:szCs w:val="20"/>
                <w:color w:val="auto"/>
              </w:rPr>
            </w:pPr>
            <w:r>
              <w:rPr>
                <w:rFonts w:ascii="Arial" w:cs="Arial" w:eastAsia="Arial" w:hAnsi="Arial"/>
                <w:sz w:val="18"/>
                <w:szCs w:val="18"/>
                <w:color w:val="auto"/>
              </w:rPr>
              <w:t>•   Vest in four equal annual installments from the date of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long-term incentive grants are intended to foster employee stock ownership, align the interests of management with those of our shareholders, and enhance our retention program. Moreover, the time-based vesting conditions, combined with the Company’s stock ownership requirements, are intended to provide a direct incentive for our management to build sustained, long-term shareholder value.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performance and payout scale for performance-based RSUs is the same as the scale used under the 2020 STI program for Company-wide free cash flow and revenue. Our actual Company-wide free cash flow under the 2020 STI program was $409.4 million (compared to a target of $355.0 million) or a 126% payout level, and our actual Company-wide revenue under the 2020 STI program was $1,913.4 million (compared to a target of $1,977.0 million) or a 84% payout level, resulting in a weighted average of 105%. As a result, the named executive officers earned 105% of their performance-based RSUs, subject to the applicable service based vesting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Committee typically approves annual equity awards at its February meeting, the date of which is usually set two years in advance. The annual equity awards for 2020 were effective on March 17,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mitigate the impact of fluctuations in our stock price, award values are converted into a number of shares by dividing the applicable dollar value of the long-term incentive opportunity by the average of the closing per-share price of our Class A Common Shares for the 30 trading days immediately preceding and including the effective date of the equity award. The Committee does not grant equity compensation awards in anticipation of the release of material, nonpublic information. Similarly, the Company does not time the release of material, nonpublic information to coincide with equity award grant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on the equity awards granted to our named executive officers in 2020, please refer to the “2020 Grants of Plan-Based Awards” table in this Proxy Statement. For information about the total number of equity awards outstanding as of the end of 2020 with respect to each named executive officer, please refer to the “2020 Outstanding Equity Awards at Fiscal Year-End” table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38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0033A0"/>
        </w:rPr>
        <w:t>Additional Compensation Policies and Practices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core compensation program described above, we utilize several other compensation policies and practices that further our strategic objectives, promote sound governance practices, and deliver pay-for-performance.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Incentive Compensation Recoupment Policy</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adopted a clawback policy to support the accuracy of our financial statements and align our executives’ long-term interests with those of our shareholders. Under this policy, each officer must repay, as directed by the Board, any annual incentive or other performance-based award received by him or her, if (i) the payment of such compensation was based on the achievement of financial results that were later the subject of a restatement of our financial statements and (ii) the Committee determines that the officer’s fraud or misconduct caused or contributed to the need for the restatement.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Stock Ownership Requirements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maintains stock ownership targets for our named executive officers to achieve. For this purpose, the shares may be owned directly, in trust, or through any unvested time-based or earned performance-based restricted share units. The ownership guidelines were implemented to encourage named executive officers to maintain a meaningful equity interest in the Company and a shared commitment to value creation. We believe the equity ownership interests that result from our stock ownership guidelines will enhance the motivation of our executives. Every October, we evaluate the equity ownership of each executive officer to ensure compliance with their ownership requirement. The ownership requirement guidelines are 3x base salary for the CEO position and 2x base salary for the other named executive officers. In 2020, all of our named executives met their ownership requirement, with the exception of Ms. Tomlin, who has until August 2022 to meet her ownership requirement.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Post-Employment Benefits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believes it is important to provide the executive officers, including named executive officers, with benefits that are in addition to those generally provided to its employees. As a result:</w:t>
      </w:r>
    </w:p>
    <w:p>
      <w:pPr>
        <w:spacing w:after="0" w:line="62" w:lineRule="exact"/>
        <w:rPr>
          <w:sz w:val="20"/>
          <w:szCs w:val="20"/>
          <w:color w:val="auto"/>
        </w:rPr>
      </w:pPr>
    </w:p>
    <w:p>
      <w:pPr>
        <w:jc w:val="both"/>
        <w:ind w:left="260" w:hanging="252"/>
        <w:spacing w:after="0" w:line="259" w:lineRule="auto"/>
        <w:tabs>
          <w:tab w:leader="none" w:pos="2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Named executive officers may defer specified portions of their compensation under the Executive Deferred Compensation Plan and receive matching contributions, in each case in excess of what they are able to defer under our 401(k) plan due to Internal Revenue Service ("IRS") limitations. For more information about the Executive Deferred Compensation Plan, please refer to the “2020 Nonqualified Deferred Compensation” table of this Proxy Statement.</w:t>
      </w:r>
    </w:p>
    <w:p>
      <w:pPr>
        <w:spacing w:after="0" w:line="78" w:lineRule="exact"/>
        <w:rPr>
          <w:rFonts w:ascii="Arial" w:cs="Arial" w:eastAsia="Arial" w:hAnsi="Arial"/>
          <w:sz w:val="18"/>
          <w:szCs w:val="18"/>
          <w:color w:val="0033A0"/>
        </w:rPr>
      </w:pPr>
    </w:p>
    <w:p>
      <w:pPr>
        <w:jc w:val="both"/>
        <w:ind w:left="260" w:hanging="252"/>
        <w:spacing w:after="0" w:line="279" w:lineRule="auto"/>
        <w:tabs>
          <w:tab w:leader="none" w:pos="260" w:val="left"/>
        </w:tabs>
        <w:numPr>
          <w:ilvl w:val="0"/>
          <w:numId w:val="26"/>
        </w:numPr>
        <w:rPr>
          <w:rFonts w:ascii="Arial" w:cs="Arial" w:eastAsia="Arial" w:hAnsi="Arial"/>
          <w:sz w:val="17"/>
          <w:szCs w:val="17"/>
          <w:color w:val="0033A0"/>
        </w:rPr>
      </w:pPr>
      <w:r>
        <w:rPr>
          <w:rFonts w:ascii="Arial" w:cs="Arial" w:eastAsia="Arial" w:hAnsi="Arial"/>
          <w:sz w:val="17"/>
          <w:szCs w:val="17"/>
          <w:color w:val="auto"/>
        </w:rPr>
        <w:t>We supplement the pension plan for executives who began employment prior to July 1, 2008, and whose pay exceeded the Internal Revenue Service limitations, through the Scripps Supplemental Executive Retirement Plan (“SERP”). The Company froze the accrual of credited service (but not vesting service) in the pension plan and SERP, effective June 30, 2009, and froze all compensation accruals after 2014. For more information on the pension plan and the SERP, please refer to the “2020 Pension Benefits” table of this Proxy Statement.</w:t>
      </w:r>
    </w:p>
    <w:p>
      <w:pPr>
        <w:spacing w:after="0" w:line="63" w:lineRule="exact"/>
        <w:rPr>
          <w:rFonts w:ascii="Arial" w:cs="Arial" w:eastAsia="Arial" w:hAnsi="Arial"/>
          <w:sz w:val="17"/>
          <w:szCs w:val="17"/>
          <w:color w:val="0033A0"/>
        </w:rPr>
      </w:pPr>
    </w:p>
    <w:p>
      <w:pPr>
        <w:jc w:val="both"/>
        <w:ind w:left="260" w:hanging="252"/>
        <w:spacing w:after="0" w:line="263" w:lineRule="auto"/>
        <w:tabs>
          <w:tab w:leader="none" w:pos="2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Under the Transition Credit Plan, “excess” age and service credits were made on behalf of named executive officers whose pension benefit was frozen. The Transition Credit Plan was effective from 2011 through 2015. For more information about the Transition Credit Plan, please refer to the “2020 Non-Qualified Deferred Compensation” table of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Health, Welfare and Other Personal Benefits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named executive officers are entitled to participate in all health, welfare, fringe benefit and other arrangements generally available to other employees. The Company may also provide its officers, including its named executive officers, with limited additional perquisites and other personal benefits. For example, named executive officers are provided a financial planning benefit. Additionally, the named executive officers are eligible for an annual executive physical. Typically, the majority of the cost associated with this benefit is covered under the established health care plans; however, if certain tests or procedures are not covered, the Company will pay the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39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jc w:val="both"/>
        <w:spacing w:after="0" w:line="311" w:lineRule="auto"/>
        <w:rPr>
          <w:sz w:val="20"/>
          <w:szCs w:val="20"/>
          <w:color w:val="auto"/>
        </w:rPr>
      </w:pPr>
      <w:r>
        <w:rPr>
          <w:rFonts w:ascii="Arial" w:cs="Arial" w:eastAsia="Arial" w:hAnsi="Arial"/>
          <w:sz w:val="16"/>
          <w:szCs w:val="16"/>
          <w:color w:val="auto"/>
        </w:rPr>
        <w:t>As a result of the current COVID-19 pandemic and related health concerns, in August 2020, the Compensation Committee of the Board of Directors put in place the Corporate Aviation Policy that permits the named executive officers to use private aircraft for business and limited personal travel. During 2020, Mr. Symson utilized a private aircraft for limited personal travel due to the COVID-19 pandemic as permitted under the Corporate Aviation Policy.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more information about the perquisites provided in 2020 to each named executive officer, please refer to the “All Other Compensation” column of the “2020 Summary Compensation Table” of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Employment Agreements, Executive Severance Plan and Change in Control Plan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Committee believes severance protections convey the Company’s commitment to each named executive officer while offering flexibility for any potential changes in compensation or duties. Accordingly, the Company provides severance protections for named executive officers under an employment agreement (for Mr. Symson only) and the Executive Severance and Change in Control Plan for the other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Mr. Symson entered into a new employment agreement with the Company. The agreement has a three-year term commencing January 1, 2020, with the potential for annual renewals. The term will be extended two years in the event of a change in control of the Company. The agreement provides for severance benefits in the event of an involuntary termination of employment without “cause” or a termination for “good reason,” death or disability. The agreement provides additional severance benefits in the event his employment terminates within 2 years after a change in control. Mr. Symson’s severance benefits are more fully described in the “Potential Payments Upon Termination or Change in Control” section of this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Plan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25, 2020, the Board of Directors, upon recommendation of the Committee, established the Scripps Executive Severance and Change in Control Plan (the “Severance Plan”). The Severance Plan supersedes and replaces the The E.W. Scripps Company Executive Severance Plan and the Scripps Senior Executive Change in Control Plan, effective February 25, 2020, and provides severance protection for certain employees, including the named executive officers other than Mr. Symson, following a termination event. The Severance Plan removed the excise tax gross-up provision that was previously included in the Scripps Senior Executive Change in Control Plan. As a result, the Company no longer provides tax gross-ups for named executive officers or any other employees in the event they are subject to golden parachute excise taxes on payments received in connection with a change in control. Additionally, provisions of the Severance Plan modified the severance calculation to equal a multiple of a participant’s “target” bonus for the year of termination. Previously, the multiple considered the greater of target bonus or the highest paid bonus over three years.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equity awards held by our named executive officers would immediately vest upon a change in control. Unlike the cash severance described above, the accelerated vesting is not contingent upon a qualifying termination of employment within a certain period following a change in control. This “single trigger” is appropriate because the Company’s equity may change in the event of a change in control and the Committee believes our named executive officers should have the same opportunity to realize value in a change in control transaction as public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refer to the “Potential Payments Upon Termination or Change in Control” section of this proxy statement for information regarding potential payments and benefits, if any, that each named executive officer is entitled to receive upon certain terminations of employment or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0033A0"/>
        </w:rPr>
        <w:t>Compensation Consultant and Peer Group</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Independent Compensation Consultant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Committee directly retains an independent compensation consultant for purposes of developing and reviewing our executive compensation strategy and programs. Since 2015, the Committee has retained Exequity, LLP (“Exequity”) as its consultant. The Committee reviews the performance of its compensation consultant on an annual basis. Minimally, every 5 years the Committee issues a request for proposal in the marketplace.</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in past years, Exequity reported directly to the Committee and served at the sole discretion of the Committee. It did not perform any other services for the Company. The Committee assessed the independence of Exequity pursuant to Securities and Exchange Commission rules and concluded that no conflict of interest existed that would prevent Exequity from independently advising the Committee.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Exequity attends each Committee meeting and provides advice to the Committee at the meetings, including reviewing and commenting on market compensation data used to establish the compensation of the executive officers and directors, the terms and performance goals applicable to incentive plan awards and analysis with respect to specific projects and information regarding trends and competitive practices.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D4D4D"/>
        </w:rPr>
        <w:t>Compensation Peer Group</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compensation peer group consists of broadcast and other media companies identified through a quantitative analysis as being comparable across a range of operational and market-based performance measures. We review our compensation peer group annually based on the Company’s current strategic direction, size and market for competitive talent. The 2020 peer group, used in conjunction with 2020 compensation decisions, consisted of the following companies, which was the same group as 2019, except for the removal of Scripps Networks Interactive (due to its acquisition by Discovery):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Comparison*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160020</wp:posOffset>
            </wp:positionV>
            <wp:extent cx="5846445" cy="2872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46445"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values are based on 2018 revenues (most current annual revenue data available when 2020 compensation decisions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0033A0"/>
        </w:rPr>
        <w:t>Tax Implications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structuring our executive compensation program, the Committee takes into account the tax treatment of our compensation arrangements. For example, the Committee reviews and considers the deductibility of executive compensation under Section 162(m) of the Internal Revenue Code (“Section 162(m)”). Prior to 2018, Section 162(m) generally provided that the Company may not deduct compensation paid to a “covered employee” (generally our named executive officers serving on the last day of the year other than the chief financial officer) to the extent it exceeds $1 million. Qualified performance-based compensation paid pursuant to shareholder approved plans generally was not subject to the $1 million deduction limit, provided that certain requirements were satisfied.</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making compensation decisions in 2017 and prior years, the Committee often sought to structure our STI program and performance-based restricted shares with the intention that they would be exempt from the $1 million deduction limit as “qualified performance-based compensation.” However, the Committee has never adopted a policy that would require all compensation to be deductible, because the Committee wants to preserve the ability to pay compensation to our executives in appropriate circumstances, even if such compensation would not be deductible under Section 162(m).</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Cuts and Jobs Act, which was enacted on December 22, 2017, includes a number of significant changes to Section 162(m), such as the repeal of the qualified performance-based compensation exemption and the expansion of the definition of “covered employees” (for example, by including the chief financial officer and certain former named executive officers as covered employees). As a result of these changes, except as otherwise provided in the transition relief provisions of the Tax Cuts and Jobs Act, compensation paid to any of our covered employees generally will not be deductible in 2018 or future years, to the extent that it exceeds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2020 Summary Compensation Table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Summary Compensation Table provides information regarding the compensation earned in 2020, 2019 and 2018 by our named executive officers.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Borders>
              <w:top w:val="single" w:sz="8" w:color="BFBFBF"/>
            </w:tcBorders>
            <w:shd w:val="clear" w:color="auto" w:fill="E7E7E8"/>
          </w:tcPr>
          <w:p>
            <w:pPr>
              <w:spacing w:after="0"/>
              <w:rPr>
                <w:sz w:val="14"/>
                <w:szCs w:val="14"/>
                <w:color w:val="auto"/>
              </w:rPr>
            </w:pPr>
          </w:p>
        </w:tc>
        <w:tc>
          <w:tcPr>
            <w:tcW w:w="120" w:type="dxa"/>
            <w:vAlign w:val="bottom"/>
            <w:tcBorders>
              <w:top w:val="single" w:sz="8" w:color="BFBFBF"/>
            </w:tcBorders>
            <w:shd w:val="clear" w:color="auto" w:fill="E7E7E8"/>
          </w:tcPr>
          <w:p>
            <w:pPr>
              <w:spacing w:after="0"/>
              <w:rPr>
                <w:sz w:val="14"/>
                <w:szCs w:val="14"/>
                <w:color w:val="auto"/>
              </w:rPr>
            </w:pPr>
          </w:p>
        </w:tc>
        <w:tc>
          <w:tcPr>
            <w:tcW w:w="820" w:type="dxa"/>
            <w:vAlign w:val="bottom"/>
            <w:tcBorders>
              <w:top w:val="single" w:sz="8" w:color="BFBFBF"/>
            </w:tcBorders>
            <w:shd w:val="clear" w:color="auto" w:fill="E7E7E8"/>
          </w:tcPr>
          <w:p>
            <w:pPr>
              <w:spacing w:after="0"/>
              <w:rPr>
                <w:sz w:val="14"/>
                <w:szCs w:val="14"/>
                <w:color w:val="auto"/>
              </w:rPr>
            </w:pPr>
          </w:p>
        </w:tc>
        <w:tc>
          <w:tcPr>
            <w:tcW w:w="1220" w:type="dxa"/>
            <w:vAlign w:val="bottom"/>
            <w:tcBorders>
              <w:top w:val="single" w:sz="8" w:color="BFBFBF"/>
            </w:tcBorders>
            <w:shd w:val="clear" w:color="auto" w:fill="E7E7E8"/>
          </w:tcPr>
          <w:p>
            <w:pPr>
              <w:spacing w:after="0"/>
              <w:rPr>
                <w:sz w:val="14"/>
                <w:szCs w:val="14"/>
                <w:color w:val="auto"/>
              </w:rPr>
            </w:pPr>
          </w:p>
        </w:tc>
        <w:tc>
          <w:tcPr>
            <w:tcW w:w="1120" w:type="dxa"/>
            <w:vAlign w:val="bottom"/>
            <w:tcBorders>
              <w:top w:val="single" w:sz="8" w:color="BFBFBF"/>
            </w:tcBorders>
            <w:shd w:val="clear" w:color="auto" w:fill="E7E7E8"/>
          </w:tcPr>
          <w:p>
            <w:pPr>
              <w:spacing w:after="0"/>
              <w:rPr>
                <w:sz w:val="14"/>
                <w:szCs w:val="14"/>
                <w:color w:val="auto"/>
              </w:rPr>
            </w:pPr>
          </w:p>
        </w:tc>
        <w:tc>
          <w:tcPr>
            <w:tcW w:w="1300" w:type="dxa"/>
            <w:vAlign w:val="bottom"/>
            <w:tcBorders>
              <w:top w:val="single" w:sz="8" w:color="BFBFBF"/>
            </w:tcBorders>
            <w:shd w:val="clear" w:color="auto" w:fill="E7E7E8"/>
          </w:tcPr>
          <w:p>
            <w:pPr>
              <w:spacing w:after="0"/>
              <w:rPr>
                <w:sz w:val="14"/>
                <w:szCs w:val="14"/>
                <w:color w:val="auto"/>
              </w:rPr>
            </w:pPr>
          </w:p>
        </w:tc>
        <w:tc>
          <w:tcPr>
            <w:tcW w:w="1300" w:type="dxa"/>
            <w:vAlign w:val="bottom"/>
            <w:tcBorders>
              <w:top w:val="single" w:sz="8" w:color="BFBFBF"/>
            </w:tcBorders>
            <w:shd w:val="clear" w:color="auto" w:fill="E7E7E8"/>
          </w:tcPr>
          <w:p>
            <w:pPr>
              <w:jc w:val="center"/>
              <w:ind w:right="22"/>
              <w:spacing w:after="0"/>
              <w:rPr>
                <w:sz w:val="20"/>
                <w:szCs w:val="20"/>
                <w:color w:val="auto"/>
              </w:rPr>
            </w:pPr>
            <w:r>
              <w:rPr>
                <w:rFonts w:ascii="Arial" w:cs="Arial" w:eastAsia="Arial" w:hAnsi="Arial"/>
                <w:sz w:val="14"/>
                <w:szCs w:val="14"/>
                <w:b w:val="1"/>
                <w:bCs w:val="1"/>
                <w:color w:val="0033A0"/>
                <w:w w:val="94"/>
              </w:rPr>
              <w:t>Change in</w:t>
            </w:r>
          </w:p>
        </w:tc>
        <w:tc>
          <w:tcPr>
            <w:tcW w:w="1440" w:type="dxa"/>
            <w:vAlign w:val="bottom"/>
            <w:tcBorders>
              <w:top w:val="single" w:sz="8" w:color="BFBFBF"/>
            </w:tcBorders>
            <w:shd w:val="clear" w:color="auto" w:fill="E7E7E8"/>
          </w:tcPr>
          <w:p>
            <w:pPr>
              <w:spacing w:after="0"/>
              <w:rPr>
                <w:sz w:val="14"/>
                <w:szCs w:val="14"/>
                <w:color w:val="auto"/>
              </w:rPr>
            </w:pPr>
          </w:p>
        </w:tc>
        <w:tc>
          <w:tcPr>
            <w:tcW w:w="1060" w:type="dxa"/>
            <w:vAlign w:val="bottom"/>
            <w:tcBorders>
              <w:top w:val="single" w:sz="8" w:color="BFBFBF"/>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E7E7E8"/>
          </w:tcPr>
          <w:p>
            <w:pPr>
              <w:spacing w:after="0"/>
              <w:rPr>
                <w:sz w:val="12"/>
                <w:szCs w:val="12"/>
                <w:color w:val="auto"/>
              </w:rPr>
            </w:pPr>
          </w:p>
        </w:tc>
        <w:tc>
          <w:tcPr>
            <w:tcW w:w="12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1300" w:type="dxa"/>
            <w:vAlign w:val="bottom"/>
            <w:shd w:val="clear" w:color="auto" w:fill="E7E7E8"/>
          </w:tcPr>
          <w:p>
            <w:pPr>
              <w:spacing w:after="0"/>
              <w:rPr>
                <w:sz w:val="12"/>
                <w:szCs w:val="12"/>
                <w:color w:val="auto"/>
              </w:rPr>
            </w:pPr>
          </w:p>
        </w:tc>
        <w:tc>
          <w:tcPr>
            <w:tcW w:w="130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1"/>
              </w:rPr>
              <w:t>Pension Value</w:t>
            </w:r>
          </w:p>
        </w:tc>
        <w:tc>
          <w:tcPr>
            <w:tcW w:w="1440" w:type="dxa"/>
            <w:vAlign w:val="bottom"/>
            <w:shd w:val="clear" w:color="auto" w:fill="E7E7E8"/>
          </w:tcPr>
          <w:p>
            <w:pPr>
              <w:spacing w:after="0"/>
              <w:rPr>
                <w:sz w:val="12"/>
                <w:szCs w:val="12"/>
                <w:color w:val="auto"/>
              </w:rPr>
            </w:pPr>
          </w:p>
        </w:tc>
        <w:tc>
          <w:tcPr>
            <w:tcW w:w="106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E7E7E8"/>
          </w:tcPr>
          <w:p>
            <w:pPr>
              <w:spacing w:after="0"/>
              <w:rPr>
                <w:sz w:val="12"/>
                <w:szCs w:val="12"/>
                <w:color w:val="auto"/>
              </w:rPr>
            </w:pPr>
          </w:p>
        </w:tc>
        <w:tc>
          <w:tcPr>
            <w:tcW w:w="12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1300" w:type="dxa"/>
            <w:vAlign w:val="bottom"/>
            <w:shd w:val="clear" w:color="auto" w:fill="E7E7E8"/>
          </w:tcPr>
          <w:p>
            <w:pPr>
              <w:spacing w:after="0"/>
              <w:rPr>
                <w:sz w:val="12"/>
                <w:szCs w:val="12"/>
                <w:color w:val="auto"/>
              </w:rPr>
            </w:pPr>
          </w:p>
        </w:tc>
        <w:tc>
          <w:tcPr>
            <w:tcW w:w="130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6"/>
              </w:rPr>
              <w:t>and</w:t>
            </w:r>
          </w:p>
        </w:tc>
        <w:tc>
          <w:tcPr>
            <w:tcW w:w="1440" w:type="dxa"/>
            <w:vAlign w:val="bottom"/>
            <w:shd w:val="clear" w:color="auto" w:fill="E7E7E8"/>
          </w:tcPr>
          <w:p>
            <w:pPr>
              <w:spacing w:after="0"/>
              <w:rPr>
                <w:sz w:val="12"/>
                <w:szCs w:val="12"/>
                <w:color w:val="auto"/>
              </w:rPr>
            </w:pPr>
          </w:p>
        </w:tc>
        <w:tc>
          <w:tcPr>
            <w:tcW w:w="106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E7E7E8"/>
          </w:tcPr>
          <w:p>
            <w:pPr>
              <w:spacing w:after="0"/>
              <w:rPr>
                <w:sz w:val="12"/>
                <w:szCs w:val="12"/>
                <w:color w:val="auto"/>
              </w:rPr>
            </w:pPr>
          </w:p>
        </w:tc>
        <w:tc>
          <w:tcPr>
            <w:tcW w:w="12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1300" w:type="dxa"/>
            <w:vAlign w:val="bottom"/>
            <w:vMerge w:val="restart"/>
            <w:shd w:val="clear" w:color="auto" w:fill="E7E7E8"/>
          </w:tcPr>
          <w:p>
            <w:pPr>
              <w:jc w:val="center"/>
              <w:ind w:right="21"/>
              <w:spacing w:after="0"/>
              <w:rPr>
                <w:sz w:val="20"/>
                <w:szCs w:val="20"/>
                <w:color w:val="auto"/>
              </w:rPr>
            </w:pPr>
            <w:r>
              <w:rPr>
                <w:rFonts w:ascii="Arial" w:cs="Arial" w:eastAsia="Arial" w:hAnsi="Arial"/>
                <w:sz w:val="14"/>
                <w:szCs w:val="14"/>
                <w:b w:val="1"/>
                <w:bCs w:val="1"/>
                <w:color w:val="0033A0"/>
                <w:w w:val="96"/>
              </w:rPr>
              <w:t>Non-Equity</w:t>
            </w:r>
          </w:p>
        </w:tc>
        <w:tc>
          <w:tcPr>
            <w:tcW w:w="130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4"/>
              </w:rPr>
              <w:t>Nonqualified</w:t>
            </w:r>
          </w:p>
        </w:tc>
        <w:tc>
          <w:tcPr>
            <w:tcW w:w="1440" w:type="dxa"/>
            <w:vAlign w:val="bottom"/>
            <w:shd w:val="clear" w:color="auto" w:fill="E7E7E8"/>
          </w:tcPr>
          <w:p>
            <w:pPr>
              <w:spacing w:after="0"/>
              <w:rPr>
                <w:sz w:val="12"/>
                <w:szCs w:val="12"/>
                <w:color w:val="auto"/>
              </w:rPr>
            </w:pPr>
          </w:p>
        </w:tc>
        <w:tc>
          <w:tcPr>
            <w:tcW w:w="106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E7E7E8"/>
          </w:tcPr>
          <w:p>
            <w:pPr>
              <w:spacing w:after="0"/>
              <w:rPr>
                <w:sz w:val="12"/>
                <w:szCs w:val="12"/>
                <w:color w:val="auto"/>
              </w:rPr>
            </w:pPr>
          </w:p>
        </w:tc>
        <w:tc>
          <w:tcPr>
            <w:tcW w:w="12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1120" w:type="dxa"/>
            <w:vAlign w:val="bottom"/>
            <w:vMerge w:val="restart"/>
            <w:shd w:val="clear" w:color="auto" w:fill="E7E7E8"/>
          </w:tcPr>
          <w:p>
            <w:pPr>
              <w:jc w:val="center"/>
              <w:ind w:right="101"/>
              <w:spacing w:after="0"/>
              <w:rPr>
                <w:sz w:val="20"/>
                <w:szCs w:val="20"/>
                <w:color w:val="auto"/>
              </w:rPr>
            </w:pPr>
            <w:r>
              <w:rPr>
                <w:rFonts w:ascii="Arial" w:cs="Arial" w:eastAsia="Arial" w:hAnsi="Arial"/>
                <w:sz w:val="14"/>
                <w:szCs w:val="14"/>
                <w:b w:val="1"/>
                <w:bCs w:val="1"/>
                <w:color w:val="0033A0"/>
                <w:w w:val="89"/>
              </w:rPr>
              <w:t>Stock</w:t>
            </w:r>
          </w:p>
        </w:tc>
        <w:tc>
          <w:tcPr>
            <w:tcW w:w="1300" w:type="dxa"/>
            <w:vAlign w:val="bottom"/>
            <w:vMerge w:val="continue"/>
            <w:shd w:val="clear" w:color="auto" w:fill="E7E7E8"/>
          </w:tcPr>
          <w:p>
            <w:pPr>
              <w:spacing w:after="0"/>
              <w:rPr>
                <w:sz w:val="12"/>
                <w:szCs w:val="12"/>
                <w:color w:val="auto"/>
              </w:rPr>
            </w:pPr>
          </w:p>
        </w:tc>
        <w:tc>
          <w:tcPr>
            <w:tcW w:w="130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7"/>
              </w:rPr>
              <w:t>Deferred</w:t>
            </w:r>
          </w:p>
        </w:tc>
        <w:tc>
          <w:tcPr>
            <w:tcW w:w="1440" w:type="dxa"/>
            <w:vAlign w:val="bottom"/>
            <w:vMerge w:val="restart"/>
            <w:shd w:val="clear" w:color="auto" w:fill="E7E7E8"/>
          </w:tcPr>
          <w:p>
            <w:pPr>
              <w:jc w:val="center"/>
              <w:ind w:right="141"/>
              <w:spacing w:after="0"/>
              <w:rPr>
                <w:sz w:val="20"/>
                <w:szCs w:val="20"/>
                <w:color w:val="auto"/>
              </w:rPr>
            </w:pPr>
            <w:r>
              <w:rPr>
                <w:rFonts w:ascii="Arial" w:cs="Arial" w:eastAsia="Arial" w:hAnsi="Arial"/>
                <w:sz w:val="14"/>
                <w:szCs w:val="14"/>
                <w:b w:val="1"/>
                <w:bCs w:val="1"/>
                <w:color w:val="0033A0"/>
                <w:w w:val="98"/>
              </w:rPr>
              <w:t>All Other</w:t>
            </w:r>
          </w:p>
        </w:tc>
        <w:tc>
          <w:tcPr>
            <w:tcW w:w="106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E7E7E8"/>
          </w:tcPr>
          <w:p>
            <w:pPr>
              <w:spacing w:after="0"/>
              <w:rPr>
                <w:sz w:val="12"/>
                <w:szCs w:val="12"/>
                <w:color w:val="auto"/>
              </w:rPr>
            </w:pPr>
          </w:p>
        </w:tc>
        <w:tc>
          <w:tcPr>
            <w:tcW w:w="12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220" w:type="dxa"/>
            <w:vAlign w:val="bottom"/>
            <w:vMerge w:val="restart"/>
            <w:shd w:val="clear" w:color="auto" w:fill="E7E7E8"/>
          </w:tcPr>
          <w:p>
            <w:pPr>
              <w:jc w:val="right"/>
              <w:ind w:right="440"/>
              <w:spacing w:after="0"/>
              <w:rPr>
                <w:sz w:val="20"/>
                <w:szCs w:val="20"/>
                <w:color w:val="auto"/>
              </w:rPr>
            </w:pPr>
            <w:r>
              <w:rPr>
                <w:rFonts w:ascii="Arial" w:cs="Arial" w:eastAsia="Arial" w:hAnsi="Arial"/>
                <w:sz w:val="14"/>
                <w:szCs w:val="14"/>
                <w:b w:val="1"/>
                <w:bCs w:val="1"/>
                <w:color w:val="0033A0"/>
              </w:rPr>
              <w:t>Salary</w:t>
            </w:r>
          </w:p>
        </w:tc>
        <w:tc>
          <w:tcPr>
            <w:tcW w:w="1120" w:type="dxa"/>
            <w:vAlign w:val="bottom"/>
            <w:vMerge w:val="continue"/>
            <w:shd w:val="clear" w:color="auto" w:fill="E7E7E8"/>
          </w:tcPr>
          <w:p>
            <w:pPr>
              <w:spacing w:after="0"/>
              <w:rPr>
                <w:sz w:val="12"/>
                <w:szCs w:val="12"/>
                <w:color w:val="auto"/>
              </w:rPr>
            </w:pPr>
          </w:p>
        </w:tc>
        <w:tc>
          <w:tcPr>
            <w:tcW w:w="1300" w:type="dxa"/>
            <w:vAlign w:val="bottom"/>
            <w:shd w:val="clear" w:color="auto" w:fill="E7E7E8"/>
          </w:tcPr>
          <w:p>
            <w:pPr>
              <w:jc w:val="center"/>
              <w:ind w:right="21"/>
              <w:spacing w:after="0" w:line="149" w:lineRule="exact"/>
              <w:rPr>
                <w:sz w:val="20"/>
                <w:szCs w:val="20"/>
                <w:color w:val="auto"/>
              </w:rPr>
            </w:pPr>
            <w:r>
              <w:rPr>
                <w:rFonts w:ascii="Arial" w:cs="Arial" w:eastAsia="Arial" w:hAnsi="Arial"/>
                <w:sz w:val="14"/>
                <w:szCs w:val="14"/>
                <w:b w:val="1"/>
                <w:bCs w:val="1"/>
                <w:color w:val="0033A0"/>
                <w:w w:val="93"/>
              </w:rPr>
              <w:t>Incentive Plan</w:t>
            </w:r>
          </w:p>
        </w:tc>
        <w:tc>
          <w:tcPr>
            <w:tcW w:w="130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0"/>
              </w:rPr>
              <w:t>Compensation</w:t>
            </w:r>
          </w:p>
        </w:tc>
        <w:tc>
          <w:tcPr>
            <w:tcW w:w="1440" w:type="dxa"/>
            <w:vAlign w:val="bottom"/>
            <w:vMerge w:val="continue"/>
            <w:shd w:val="clear" w:color="auto" w:fill="E7E7E8"/>
          </w:tcPr>
          <w:p>
            <w:pPr>
              <w:spacing w:after="0"/>
              <w:rPr>
                <w:sz w:val="12"/>
                <w:szCs w:val="12"/>
                <w:color w:val="auto"/>
              </w:rPr>
            </w:pPr>
          </w:p>
        </w:tc>
        <w:tc>
          <w:tcPr>
            <w:tcW w:w="1060" w:type="dxa"/>
            <w:vAlign w:val="bottom"/>
            <w:vMerge w:val="restart"/>
            <w:shd w:val="clear" w:color="auto" w:fill="E7E7E8"/>
          </w:tcPr>
          <w:p>
            <w:pPr>
              <w:jc w:val="right"/>
              <w:ind w:right="400"/>
              <w:spacing w:after="0"/>
              <w:rPr>
                <w:sz w:val="20"/>
                <w:szCs w:val="20"/>
                <w:color w:val="auto"/>
              </w:rPr>
            </w:pPr>
            <w:r>
              <w:rPr>
                <w:rFonts w:ascii="Arial" w:cs="Arial" w:eastAsia="Arial" w:hAnsi="Arial"/>
                <w:sz w:val="14"/>
                <w:szCs w:val="14"/>
                <w:b w:val="1"/>
                <w:bCs w:val="1"/>
                <w:color w:val="0033A0"/>
              </w:rPr>
              <w:t>Total</w:t>
            </w:r>
          </w:p>
        </w:tc>
        <w:tc>
          <w:tcPr>
            <w:tcW w:w="0" w:type="dxa"/>
            <w:vAlign w:val="bottom"/>
          </w:tcPr>
          <w:p>
            <w:pPr>
              <w:spacing w:after="0"/>
              <w:rPr>
                <w:sz w:val="1"/>
                <w:szCs w:val="1"/>
                <w:color w:val="auto"/>
              </w:rPr>
            </w:pPr>
          </w:p>
        </w:tc>
      </w:tr>
      <w:tr>
        <w:trPr>
          <w:trHeight w:val="148"/>
        </w:trPr>
        <w:tc>
          <w:tcPr>
            <w:tcW w:w="286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 and Principal Position</w:t>
            </w:r>
          </w:p>
        </w:tc>
        <w:tc>
          <w:tcPr>
            <w:tcW w:w="120" w:type="dxa"/>
            <w:vAlign w:val="bottom"/>
            <w:shd w:val="clear" w:color="auto" w:fill="E7E7E8"/>
          </w:tcPr>
          <w:p>
            <w:pPr>
              <w:spacing w:after="0"/>
              <w:rPr>
                <w:sz w:val="12"/>
                <w:szCs w:val="12"/>
                <w:color w:val="auto"/>
              </w:rPr>
            </w:pPr>
          </w:p>
        </w:tc>
        <w:tc>
          <w:tcPr>
            <w:tcW w:w="820" w:type="dxa"/>
            <w:vAlign w:val="bottom"/>
            <w:vMerge w:val="restart"/>
            <w:shd w:val="clear" w:color="auto" w:fill="E7E7E8"/>
          </w:tcPr>
          <w:p>
            <w:pPr>
              <w:ind w:left="220"/>
              <w:spacing w:after="0"/>
              <w:rPr>
                <w:sz w:val="20"/>
                <w:szCs w:val="20"/>
                <w:color w:val="auto"/>
              </w:rPr>
            </w:pPr>
            <w:r>
              <w:rPr>
                <w:rFonts w:ascii="Arial" w:cs="Arial" w:eastAsia="Arial" w:hAnsi="Arial"/>
                <w:sz w:val="14"/>
                <w:szCs w:val="14"/>
                <w:b w:val="1"/>
                <w:bCs w:val="1"/>
                <w:color w:val="0033A0"/>
              </w:rPr>
              <w:t>Year</w:t>
            </w:r>
          </w:p>
        </w:tc>
        <w:tc>
          <w:tcPr>
            <w:tcW w:w="1220" w:type="dxa"/>
            <w:vAlign w:val="bottom"/>
            <w:vMerge w:val="continue"/>
            <w:shd w:val="clear" w:color="auto" w:fill="E7E7E8"/>
          </w:tcPr>
          <w:p>
            <w:pPr>
              <w:spacing w:after="0"/>
              <w:rPr>
                <w:sz w:val="12"/>
                <w:szCs w:val="12"/>
                <w:color w:val="auto"/>
              </w:rPr>
            </w:pPr>
          </w:p>
        </w:tc>
        <w:tc>
          <w:tcPr>
            <w:tcW w:w="1120" w:type="dxa"/>
            <w:vAlign w:val="bottom"/>
            <w:shd w:val="clear" w:color="auto" w:fill="E7E7E8"/>
          </w:tcPr>
          <w:p>
            <w:pPr>
              <w:jc w:val="center"/>
              <w:ind w:right="81"/>
              <w:spacing w:after="0" w:line="149" w:lineRule="exact"/>
              <w:rPr>
                <w:sz w:val="20"/>
                <w:szCs w:val="20"/>
                <w:color w:val="auto"/>
              </w:rPr>
            </w:pPr>
            <w:r>
              <w:rPr>
                <w:rFonts w:ascii="Arial" w:cs="Arial" w:eastAsia="Arial" w:hAnsi="Arial"/>
                <w:sz w:val="14"/>
                <w:szCs w:val="14"/>
                <w:b w:val="1"/>
                <w:bCs w:val="1"/>
                <w:color w:val="0033A0"/>
                <w:w w:val="94"/>
              </w:rPr>
              <w:t>Awards</w:t>
            </w:r>
          </w:p>
        </w:tc>
        <w:tc>
          <w:tcPr>
            <w:tcW w:w="1300" w:type="dxa"/>
            <w:vAlign w:val="bottom"/>
            <w:shd w:val="clear" w:color="auto" w:fill="E7E7E8"/>
          </w:tcPr>
          <w:p>
            <w:pPr>
              <w:jc w:val="center"/>
              <w:ind w:right="21"/>
              <w:spacing w:after="0" w:line="149" w:lineRule="exact"/>
              <w:rPr>
                <w:sz w:val="20"/>
                <w:szCs w:val="20"/>
                <w:color w:val="auto"/>
              </w:rPr>
            </w:pPr>
            <w:r>
              <w:rPr>
                <w:rFonts w:ascii="Arial" w:cs="Arial" w:eastAsia="Arial" w:hAnsi="Arial"/>
                <w:sz w:val="14"/>
                <w:szCs w:val="14"/>
                <w:b w:val="1"/>
                <w:bCs w:val="1"/>
                <w:color w:val="0033A0"/>
                <w:w w:val="90"/>
              </w:rPr>
              <w:t>Compensation</w:t>
            </w:r>
          </w:p>
        </w:tc>
        <w:tc>
          <w:tcPr>
            <w:tcW w:w="130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3"/>
              </w:rPr>
              <w:t>Earnings</w:t>
            </w:r>
          </w:p>
        </w:tc>
        <w:tc>
          <w:tcPr>
            <w:tcW w:w="1440" w:type="dxa"/>
            <w:vAlign w:val="bottom"/>
            <w:shd w:val="clear" w:color="auto" w:fill="E7E7E8"/>
          </w:tcPr>
          <w:p>
            <w:pPr>
              <w:jc w:val="center"/>
              <w:ind w:right="141"/>
              <w:spacing w:after="0" w:line="149" w:lineRule="exact"/>
              <w:rPr>
                <w:sz w:val="20"/>
                <w:szCs w:val="20"/>
                <w:color w:val="auto"/>
              </w:rPr>
            </w:pPr>
            <w:r>
              <w:rPr>
                <w:rFonts w:ascii="Arial" w:cs="Arial" w:eastAsia="Arial" w:hAnsi="Arial"/>
                <w:sz w:val="14"/>
                <w:szCs w:val="14"/>
                <w:b w:val="1"/>
                <w:bCs w:val="1"/>
                <w:color w:val="0033A0"/>
                <w:w w:val="92"/>
              </w:rPr>
              <w:t>Compensation</w:t>
            </w:r>
          </w:p>
        </w:tc>
        <w:tc>
          <w:tcPr>
            <w:tcW w:w="1060" w:type="dxa"/>
            <w:vAlign w:val="bottom"/>
            <w:vMerge w:val="continue"/>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Borders>
              <w:bottom w:val="single" w:sz="8" w:color="BFBFBF"/>
            </w:tcBorders>
            <w:vMerge w:val="continue"/>
            <w:shd w:val="clear" w:color="auto" w:fill="E7E7E8"/>
          </w:tcPr>
          <w:p>
            <w:pPr>
              <w:spacing w:after="0"/>
              <w:rPr>
                <w:sz w:val="15"/>
                <w:szCs w:val="15"/>
                <w:color w:val="auto"/>
              </w:rPr>
            </w:pPr>
          </w:p>
        </w:tc>
        <w:tc>
          <w:tcPr>
            <w:tcW w:w="120" w:type="dxa"/>
            <w:vAlign w:val="bottom"/>
            <w:tcBorders>
              <w:bottom w:val="single" w:sz="8" w:color="BFBFBF"/>
            </w:tcBorders>
            <w:shd w:val="clear" w:color="auto" w:fill="E7E7E8"/>
          </w:tcPr>
          <w:p>
            <w:pPr>
              <w:spacing w:after="0"/>
              <w:rPr>
                <w:sz w:val="15"/>
                <w:szCs w:val="15"/>
                <w:color w:val="auto"/>
              </w:rPr>
            </w:pPr>
          </w:p>
        </w:tc>
        <w:tc>
          <w:tcPr>
            <w:tcW w:w="820" w:type="dxa"/>
            <w:vAlign w:val="bottom"/>
            <w:tcBorders>
              <w:bottom w:val="single" w:sz="8" w:color="BFBFBF"/>
            </w:tcBorders>
            <w:vMerge w:val="continue"/>
            <w:shd w:val="clear" w:color="auto" w:fill="E7E7E8"/>
          </w:tcPr>
          <w:p>
            <w:pPr>
              <w:spacing w:after="0"/>
              <w:rPr>
                <w:sz w:val="15"/>
                <w:szCs w:val="15"/>
                <w:color w:val="auto"/>
              </w:rPr>
            </w:pPr>
          </w:p>
        </w:tc>
        <w:tc>
          <w:tcPr>
            <w:tcW w:w="1220" w:type="dxa"/>
            <w:vAlign w:val="bottom"/>
            <w:tcBorders>
              <w:bottom w:val="single" w:sz="8" w:color="BFBFBF"/>
            </w:tcBorders>
            <w:shd w:val="clear" w:color="auto" w:fill="E7E7E8"/>
          </w:tcPr>
          <w:p>
            <w:pPr>
              <w:jc w:val="right"/>
              <w:ind w:right="540"/>
              <w:spacing w:after="0"/>
              <w:rPr>
                <w:sz w:val="20"/>
                <w:szCs w:val="20"/>
                <w:color w:val="auto"/>
              </w:rPr>
            </w:pPr>
            <w:r>
              <w:rPr>
                <w:rFonts w:ascii="Arial" w:cs="Arial" w:eastAsia="Arial" w:hAnsi="Arial"/>
                <w:sz w:val="14"/>
                <w:szCs w:val="14"/>
                <w:b w:val="1"/>
                <w:bCs w:val="1"/>
                <w:color w:val="0033A0"/>
              </w:rPr>
              <w:t>($)</w:t>
            </w:r>
          </w:p>
        </w:tc>
        <w:tc>
          <w:tcPr>
            <w:tcW w:w="1120" w:type="dxa"/>
            <w:vAlign w:val="bottom"/>
            <w:tcBorders>
              <w:bottom w:val="single" w:sz="8" w:color="BFBFBF"/>
            </w:tcBorders>
            <w:shd w:val="clear" w:color="auto" w:fill="E7E7E8"/>
          </w:tcPr>
          <w:p>
            <w:pPr>
              <w:jc w:val="center"/>
              <w:ind w:right="81"/>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(1)</w:t>
            </w:r>
          </w:p>
        </w:tc>
        <w:tc>
          <w:tcPr>
            <w:tcW w:w="1300" w:type="dxa"/>
            <w:vAlign w:val="bottom"/>
            <w:tcBorders>
              <w:bottom w:val="single" w:sz="8" w:color="BFBFBF"/>
            </w:tcBorders>
            <w:shd w:val="clear" w:color="auto" w:fill="E7E7E8"/>
          </w:tcPr>
          <w:p>
            <w:pPr>
              <w:jc w:val="center"/>
              <w:ind w:right="21"/>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(2)</w:t>
            </w:r>
          </w:p>
        </w:tc>
        <w:tc>
          <w:tcPr>
            <w:tcW w:w="1300" w:type="dxa"/>
            <w:vAlign w:val="bottom"/>
            <w:tcBorders>
              <w:bottom w:val="single" w:sz="8" w:color="BFBFBF"/>
            </w:tcBorders>
            <w:shd w:val="clear" w:color="auto" w:fill="E7E7E8"/>
          </w:tcPr>
          <w:p>
            <w:pPr>
              <w:jc w:val="center"/>
              <w:ind w:right="22"/>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(3)</w:t>
            </w:r>
          </w:p>
        </w:tc>
        <w:tc>
          <w:tcPr>
            <w:tcW w:w="1440" w:type="dxa"/>
            <w:vAlign w:val="bottom"/>
            <w:tcBorders>
              <w:bottom w:val="single" w:sz="8" w:color="BFBFBF"/>
            </w:tcBorders>
            <w:shd w:val="clear" w:color="auto" w:fill="E7E7E8"/>
          </w:tcPr>
          <w:p>
            <w:pPr>
              <w:jc w:val="center"/>
              <w:ind w:right="141"/>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(4)</w:t>
            </w:r>
          </w:p>
        </w:tc>
        <w:tc>
          <w:tcPr>
            <w:tcW w:w="1060" w:type="dxa"/>
            <w:vAlign w:val="bottom"/>
            <w:tcBorders>
              <w:bottom w:val="single" w:sz="8" w:color="BFBFBF"/>
            </w:tcBorders>
            <w:shd w:val="clear" w:color="auto" w:fill="E7E7E8"/>
          </w:tcPr>
          <w:p>
            <w:pPr>
              <w:jc w:val="right"/>
              <w:ind w:right="460"/>
              <w:spacing w:after="0"/>
              <w:rPr>
                <w:sz w:val="20"/>
                <w:szCs w:val="20"/>
                <w:color w:val="auto"/>
              </w:rPr>
            </w:pPr>
            <w:r>
              <w:rPr>
                <w:rFonts w:ascii="Arial" w:cs="Arial" w:eastAsia="Arial" w:hAnsi="Arial"/>
                <w:sz w:val="14"/>
                <w:szCs w:val="14"/>
                <w:b w:val="1"/>
                <w:bCs w:val="1"/>
                <w:color w:val="0033A0"/>
              </w:rPr>
              <w:t>($)</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b w:val="1"/>
                <w:bCs w:val="1"/>
                <w:color w:val="0033A0"/>
              </w:rPr>
              <w:t>Adam P. Symson</w:t>
            </w: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926,503</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2,041,633</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1,386,000</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86,220</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120,154</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4,560,510</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i w:val="1"/>
                <w:iCs w:val="1"/>
                <w:color w:val="auto"/>
              </w:rPr>
              <w:t>President &amp; Chief</w:t>
            </w: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1,000,000</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2,160,412</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1,106,750</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86,035</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95,278</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4,448,475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Executive Officer</w:t>
            </w: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color w:val="auto"/>
              </w:rPr>
              <w:t>2018</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950,000</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1,234,951</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1,130,381</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69,222</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3,384,554</w:t>
            </w:r>
          </w:p>
        </w:tc>
        <w:tc>
          <w:tcPr>
            <w:tcW w:w="0" w:type="dxa"/>
            <w:vAlign w:val="bottom"/>
          </w:tcPr>
          <w:p>
            <w:pPr>
              <w:spacing w:after="0"/>
              <w:rPr>
                <w:sz w:val="1"/>
                <w:szCs w:val="1"/>
                <w:color w:val="auto"/>
              </w:rPr>
            </w:pPr>
          </w:p>
        </w:tc>
      </w:tr>
      <w:tr>
        <w:trPr>
          <w:trHeight w:val="223"/>
        </w:trPr>
        <w:tc>
          <w:tcPr>
            <w:tcW w:w="2860" w:type="dxa"/>
            <w:vAlign w:val="bottom"/>
            <w:shd w:val="clear" w:color="auto" w:fill="F3F3F3"/>
          </w:tcPr>
          <w:p>
            <w:pPr>
              <w:ind w:left="140"/>
              <w:spacing w:after="0"/>
              <w:rPr>
                <w:sz w:val="20"/>
                <w:szCs w:val="20"/>
                <w:color w:val="auto"/>
              </w:rPr>
            </w:pPr>
            <w:r>
              <w:rPr>
                <w:rFonts w:ascii="Arial" w:cs="Arial" w:eastAsia="Arial" w:hAnsi="Arial"/>
                <w:sz w:val="18"/>
                <w:szCs w:val="18"/>
                <w:b w:val="1"/>
                <w:bCs w:val="1"/>
                <w:color w:val="0033A0"/>
              </w:rPr>
              <w:t>Lisa A. Knutson</w:t>
            </w:r>
          </w:p>
        </w:tc>
        <w:tc>
          <w:tcPr>
            <w:tcW w:w="940" w:type="dxa"/>
            <w:vAlign w:val="bottom"/>
            <w:gridSpan w:val="2"/>
            <w:shd w:val="clear" w:color="auto" w:fill="F3F3F3"/>
          </w:tcPr>
          <w:p>
            <w:pPr>
              <w:ind w:left="3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565,027</w:t>
            </w:r>
          </w:p>
        </w:tc>
        <w:tc>
          <w:tcPr>
            <w:tcW w:w="112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415,888</w:t>
            </w:r>
          </w:p>
        </w:tc>
        <w:tc>
          <w:tcPr>
            <w:tcW w:w="130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450,450</w:t>
            </w:r>
          </w:p>
        </w:tc>
        <w:tc>
          <w:tcPr>
            <w:tcW w:w="1300" w:type="dxa"/>
            <w:vAlign w:val="bottom"/>
            <w:shd w:val="clear" w:color="auto" w:fill="F3F3F3"/>
          </w:tcPr>
          <w:p>
            <w:pPr>
              <w:jc w:val="right"/>
              <w:ind w:right="82"/>
              <w:spacing w:after="0"/>
              <w:rPr>
                <w:sz w:val="20"/>
                <w:szCs w:val="20"/>
                <w:color w:val="auto"/>
              </w:rPr>
            </w:pPr>
            <w:r>
              <w:rPr>
                <w:rFonts w:ascii="Arial" w:cs="Arial" w:eastAsia="Arial" w:hAnsi="Arial"/>
                <w:sz w:val="16"/>
                <w:szCs w:val="16"/>
                <w:color w:val="auto"/>
              </w:rPr>
              <w:t>46,924</w:t>
            </w:r>
          </w:p>
        </w:tc>
        <w:tc>
          <w:tcPr>
            <w:tcW w:w="1440" w:type="dxa"/>
            <w:vAlign w:val="bottom"/>
            <w:shd w:val="clear" w:color="auto" w:fill="F3F3F3"/>
          </w:tcPr>
          <w:p>
            <w:pPr>
              <w:jc w:val="right"/>
              <w:ind w:right="201"/>
              <w:spacing w:after="0"/>
              <w:rPr>
                <w:sz w:val="20"/>
                <w:szCs w:val="20"/>
                <w:color w:val="auto"/>
              </w:rPr>
            </w:pPr>
            <w:r>
              <w:rPr>
                <w:rFonts w:ascii="Arial" w:cs="Arial" w:eastAsia="Arial" w:hAnsi="Arial"/>
                <w:sz w:val="16"/>
                <w:szCs w:val="16"/>
                <w:color w:val="auto"/>
              </w:rPr>
              <w:t>49,402</w:t>
            </w:r>
          </w:p>
        </w:tc>
        <w:tc>
          <w:tcPr>
            <w:tcW w:w="1060" w:type="dxa"/>
            <w:vAlign w:val="bottom"/>
            <w:shd w:val="clear" w:color="auto" w:fill="F3F3F3"/>
          </w:tcPr>
          <w:p>
            <w:pPr>
              <w:jc w:val="right"/>
              <w:ind w:right="60"/>
              <w:spacing w:after="0"/>
              <w:rPr>
                <w:sz w:val="20"/>
                <w:szCs w:val="20"/>
                <w:color w:val="auto"/>
              </w:rPr>
            </w:pPr>
            <w:r>
              <w:rPr>
                <w:rFonts w:ascii="Arial" w:cs="Arial" w:eastAsia="Arial" w:hAnsi="Arial"/>
                <w:sz w:val="16"/>
                <w:szCs w:val="16"/>
                <w:color w:val="auto"/>
              </w:rPr>
              <w:t>1,527,691</w:t>
            </w:r>
          </w:p>
        </w:tc>
        <w:tc>
          <w:tcPr>
            <w:tcW w:w="0" w:type="dxa"/>
            <w:vAlign w:val="bottom"/>
          </w:tcPr>
          <w:p>
            <w:pPr>
              <w:spacing w:after="0"/>
              <w:rPr>
                <w:sz w:val="1"/>
                <w:szCs w:val="1"/>
                <w:color w:val="auto"/>
              </w:rPr>
            </w:pPr>
          </w:p>
        </w:tc>
      </w:tr>
      <w:tr>
        <w:trPr>
          <w:trHeight w:val="230"/>
        </w:trPr>
        <w:tc>
          <w:tcPr>
            <w:tcW w:w="2860" w:type="dxa"/>
            <w:vAlign w:val="bottom"/>
            <w:shd w:val="clear" w:color="auto" w:fill="F3F3F3"/>
          </w:tcPr>
          <w:p>
            <w:pPr>
              <w:ind w:left="140"/>
              <w:spacing w:after="0"/>
              <w:rPr>
                <w:sz w:val="20"/>
                <w:szCs w:val="20"/>
                <w:color w:val="auto"/>
              </w:rPr>
            </w:pPr>
            <w:r>
              <w:rPr>
                <w:rFonts w:ascii="Arial" w:cs="Arial" w:eastAsia="Arial" w:hAnsi="Arial"/>
                <w:sz w:val="18"/>
                <w:szCs w:val="18"/>
                <w:i w:val="1"/>
                <w:iCs w:val="1"/>
                <w:color w:val="auto"/>
              </w:rPr>
              <w:t>Executive Vice President/</w:t>
            </w:r>
          </w:p>
        </w:tc>
        <w:tc>
          <w:tcPr>
            <w:tcW w:w="120" w:type="dxa"/>
            <w:vAlign w:val="bottom"/>
            <w:shd w:val="clear" w:color="auto" w:fill="F3F3F3"/>
          </w:tcPr>
          <w:p>
            <w:pPr>
              <w:spacing w:after="0"/>
              <w:rPr>
                <w:sz w:val="19"/>
                <w:szCs w:val="19"/>
                <w:color w:val="auto"/>
              </w:rPr>
            </w:pPr>
          </w:p>
        </w:tc>
        <w:tc>
          <w:tcPr>
            <w:tcW w:w="820" w:type="dxa"/>
            <w:vAlign w:val="bottom"/>
            <w:shd w:val="clear" w:color="auto" w:fill="F3F3F3"/>
          </w:tcPr>
          <w:p>
            <w:pPr>
              <w:ind w:left="20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600,000</w:t>
            </w:r>
          </w:p>
        </w:tc>
        <w:tc>
          <w:tcPr>
            <w:tcW w:w="112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685,923</w:t>
            </w:r>
          </w:p>
        </w:tc>
        <w:tc>
          <w:tcPr>
            <w:tcW w:w="130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419,400</w:t>
            </w:r>
          </w:p>
        </w:tc>
        <w:tc>
          <w:tcPr>
            <w:tcW w:w="1300" w:type="dxa"/>
            <w:vAlign w:val="bottom"/>
            <w:shd w:val="clear" w:color="auto" w:fill="F3F3F3"/>
          </w:tcPr>
          <w:p>
            <w:pPr>
              <w:jc w:val="right"/>
              <w:ind w:right="82"/>
              <w:spacing w:after="0"/>
              <w:rPr>
                <w:sz w:val="20"/>
                <w:szCs w:val="20"/>
                <w:color w:val="auto"/>
              </w:rPr>
            </w:pPr>
            <w:r>
              <w:rPr>
                <w:rFonts w:ascii="Arial" w:cs="Arial" w:eastAsia="Arial" w:hAnsi="Arial"/>
                <w:sz w:val="16"/>
                <w:szCs w:val="16"/>
                <w:color w:val="auto"/>
              </w:rPr>
              <w:t>50,617</w:t>
            </w:r>
          </w:p>
        </w:tc>
        <w:tc>
          <w:tcPr>
            <w:tcW w:w="1440" w:type="dxa"/>
            <w:vAlign w:val="bottom"/>
            <w:shd w:val="clear" w:color="auto" w:fill="F3F3F3"/>
          </w:tcPr>
          <w:p>
            <w:pPr>
              <w:jc w:val="right"/>
              <w:ind w:right="201"/>
              <w:spacing w:after="0"/>
              <w:rPr>
                <w:sz w:val="20"/>
                <w:szCs w:val="20"/>
                <w:color w:val="auto"/>
              </w:rPr>
            </w:pPr>
            <w:r>
              <w:rPr>
                <w:rFonts w:ascii="Arial" w:cs="Arial" w:eastAsia="Arial" w:hAnsi="Arial"/>
                <w:sz w:val="16"/>
                <w:szCs w:val="16"/>
                <w:color w:val="auto"/>
              </w:rPr>
              <w:t>46,835</w:t>
            </w:r>
          </w:p>
        </w:tc>
        <w:tc>
          <w:tcPr>
            <w:tcW w:w="1060" w:type="dxa"/>
            <w:vAlign w:val="bottom"/>
            <w:shd w:val="clear" w:color="auto" w:fill="F3F3F3"/>
          </w:tcPr>
          <w:p>
            <w:pPr>
              <w:jc w:val="right"/>
              <w:ind w:right="60"/>
              <w:spacing w:after="0"/>
              <w:rPr>
                <w:sz w:val="20"/>
                <w:szCs w:val="20"/>
                <w:color w:val="auto"/>
              </w:rPr>
            </w:pPr>
            <w:r>
              <w:rPr>
                <w:rFonts w:ascii="Arial" w:cs="Arial" w:eastAsia="Arial" w:hAnsi="Arial"/>
                <w:sz w:val="16"/>
                <w:szCs w:val="16"/>
                <w:color w:val="auto"/>
              </w:rPr>
              <w:t>1,802,775</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F3F3F3"/>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tcBorders>
              <w:bottom w:val="single" w:sz="8" w:color="auto"/>
            </w:tcBorders>
            <w:shd w:val="clear" w:color="auto" w:fill="F3F3F3"/>
          </w:tcPr>
          <w:p>
            <w:pPr>
              <w:spacing w:after="0"/>
              <w:rPr>
                <w:sz w:val="19"/>
                <w:szCs w:val="19"/>
                <w:color w:val="auto"/>
              </w:rPr>
            </w:pPr>
          </w:p>
        </w:tc>
        <w:tc>
          <w:tcPr>
            <w:tcW w:w="820" w:type="dxa"/>
            <w:vAlign w:val="bottom"/>
            <w:tcBorders>
              <w:bottom w:val="single" w:sz="8" w:color="auto"/>
            </w:tcBorders>
            <w:shd w:val="clear" w:color="auto" w:fill="F3F3F3"/>
          </w:tcPr>
          <w:p>
            <w:pPr>
              <w:ind w:left="200"/>
              <w:spacing w:after="0"/>
              <w:rPr>
                <w:sz w:val="20"/>
                <w:szCs w:val="20"/>
                <w:color w:val="auto"/>
              </w:rPr>
            </w:pPr>
            <w:r>
              <w:rPr>
                <w:rFonts w:ascii="Arial" w:cs="Arial" w:eastAsia="Arial" w:hAnsi="Arial"/>
                <w:sz w:val="16"/>
                <w:szCs w:val="16"/>
                <w:color w:val="auto"/>
              </w:rPr>
              <w:t>2018</w:t>
            </w:r>
          </w:p>
        </w:tc>
        <w:tc>
          <w:tcPr>
            <w:tcW w:w="1220" w:type="dxa"/>
            <w:vAlign w:val="bottom"/>
            <w:tcBorders>
              <w:bottom w:val="single" w:sz="8" w:color="auto"/>
            </w:tcBorders>
            <w:shd w:val="clear" w:color="auto" w:fill="F3F3F3"/>
          </w:tcPr>
          <w:p>
            <w:pPr>
              <w:jc w:val="right"/>
              <w:ind w:right="160"/>
              <w:spacing w:after="0"/>
              <w:rPr>
                <w:sz w:val="20"/>
                <w:szCs w:val="20"/>
                <w:color w:val="auto"/>
              </w:rPr>
            </w:pPr>
            <w:r>
              <w:rPr>
                <w:rFonts w:ascii="Arial" w:cs="Arial" w:eastAsia="Arial" w:hAnsi="Arial"/>
                <w:sz w:val="16"/>
                <w:szCs w:val="16"/>
                <w:color w:val="auto"/>
              </w:rPr>
              <w:t>564,000</w:t>
            </w:r>
          </w:p>
        </w:tc>
        <w:tc>
          <w:tcPr>
            <w:tcW w:w="1120" w:type="dxa"/>
            <w:vAlign w:val="bottom"/>
            <w:tcBorders>
              <w:bottom w:val="single" w:sz="8" w:color="auto"/>
            </w:tcBorders>
            <w:shd w:val="clear" w:color="auto" w:fill="F3F3F3"/>
          </w:tcPr>
          <w:p>
            <w:pPr>
              <w:jc w:val="right"/>
              <w:ind w:right="81"/>
              <w:spacing w:after="0"/>
              <w:rPr>
                <w:sz w:val="20"/>
                <w:szCs w:val="20"/>
                <w:color w:val="auto"/>
              </w:rPr>
            </w:pPr>
            <w:r>
              <w:rPr>
                <w:rFonts w:ascii="Arial" w:cs="Arial" w:eastAsia="Arial" w:hAnsi="Arial"/>
                <w:sz w:val="16"/>
                <w:szCs w:val="16"/>
                <w:color w:val="auto"/>
              </w:rPr>
              <w:t>463,097</w:t>
            </w:r>
          </w:p>
        </w:tc>
        <w:tc>
          <w:tcPr>
            <w:tcW w:w="1300" w:type="dxa"/>
            <w:vAlign w:val="bottom"/>
            <w:tcBorders>
              <w:bottom w:val="single" w:sz="8" w:color="auto"/>
            </w:tcBorders>
            <w:shd w:val="clear" w:color="auto" w:fill="F3F3F3"/>
          </w:tcPr>
          <w:p>
            <w:pPr>
              <w:jc w:val="right"/>
              <w:ind w:right="81"/>
              <w:spacing w:after="0"/>
              <w:rPr>
                <w:sz w:val="20"/>
                <w:szCs w:val="20"/>
                <w:color w:val="auto"/>
              </w:rPr>
            </w:pPr>
            <w:r>
              <w:rPr>
                <w:rFonts w:ascii="Arial" w:cs="Arial" w:eastAsia="Arial" w:hAnsi="Arial"/>
                <w:sz w:val="16"/>
                <w:szCs w:val="16"/>
                <w:color w:val="auto"/>
              </w:rPr>
              <w:t>423,846</w:t>
            </w:r>
          </w:p>
        </w:tc>
        <w:tc>
          <w:tcPr>
            <w:tcW w:w="1300" w:type="dxa"/>
            <w:vAlign w:val="bottom"/>
            <w:tcBorders>
              <w:bottom w:val="single" w:sz="8" w:color="auto"/>
            </w:tcBorders>
            <w:shd w:val="clear" w:color="auto" w:fill="F3F3F3"/>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F3F3F3"/>
          </w:tcPr>
          <w:p>
            <w:pPr>
              <w:jc w:val="right"/>
              <w:ind w:right="201"/>
              <w:spacing w:after="0"/>
              <w:rPr>
                <w:sz w:val="20"/>
                <w:szCs w:val="20"/>
                <w:color w:val="auto"/>
              </w:rPr>
            </w:pPr>
            <w:r>
              <w:rPr>
                <w:rFonts w:ascii="Arial" w:cs="Arial" w:eastAsia="Arial" w:hAnsi="Arial"/>
                <w:sz w:val="16"/>
                <w:szCs w:val="16"/>
                <w:color w:val="auto"/>
              </w:rPr>
              <w:t>40,369</w:t>
            </w:r>
          </w:p>
        </w:tc>
        <w:tc>
          <w:tcPr>
            <w:tcW w:w="1060" w:type="dxa"/>
            <w:vAlign w:val="bottom"/>
            <w:tcBorders>
              <w:bottom w:val="single" w:sz="8" w:color="auto"/>
            </w:tcBorders>
            <w:shd w:val="clear" w:color="auto" w:fill="F3F3F3"/>
          </w:tcPr>
          <w:p>
            <w:pPr>
              <w:jc w:val="right"/>
              <w:ind w:right="60"/>
              <w:spacing w:after="0"/>
              <w:rPr>
                <w:sz w:val="20"/>
                <w:szCs w:val="20"/>
                <w:color w:val="auto"/>
              </w:rPr>
            </w:pPr>
            <w:r>
              <w:rPr>
                <w:rFonts w:ascii="Arial" w:cs="Arial" w:eastAsia="Arial" w:hAnsi="Arial"/>
                <w:sz w:val="16"/>
                <w:szCs w:val="16"/>
                <w:color w:val="auto"/>
              </w:rPr>
              <w:t>1,491,312</w:t>
            </w:r>
          </w:p>
        </w:tc>
        <w:tc>
          <w:tcPr>
            <w:tcW w:w="0" w:type="dxa"/>
            <w:vAlign w:val="bottom"/>
          </w:tcPr>
          <w:p>
            <w:pPr>
              <w:spacing w:after="0"/>
              <w:rPr>
                <w:sz w:val="1"/>
                <w:szCs w:val="1"/>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b w:val="1"/>
                <w:bCs w:val="1"/>
                <w:color w:val="0033A0"/>
              </w:rPr>
              <w:t>Brian G. Lawlor</w:t>
            </w: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630,960</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453,695</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486,150</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286,693</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55,051</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1,912,549</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i w:val="1"/>
                <w:iCs w:val="1"/>
                <w:color w:val="auto"/>
              </w:rPr>
              <w:t>President, Local Media</w:t>
            </w: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676,500</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756,136</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472,874</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306,737</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51,750</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2,263,997</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color w:val="auto"/>
              </w:rPr>
              <w:t>2018</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615,000</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507,203</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455,715</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9,625</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1,587,543</w:t>
            </w:r>
          </w:p>
        </w:tc>
        <w:tc>
          <w:tcPr>
            <w:tcW w:w="0" w:type="dxa"/>
            <w:vAlign w:val="bottom"/>
          </w:tcPr>
          <w:p>
            <w:pPr>
              <w:spacing w:after="0"/>
              <w:rPr>
                <w:sz w:val="1"/>
                <w:szCs w:val="1"/>
                <w:color w:val="auto"/>
              </w:rPr>
            </w:pPr>
          </w:p>
        </w:tc>
      </w:tr>
      <w:tr>
        <w:trPr>
          <w:trHeight w:val="226"/>
        </w:trPr>
        <w:tc>
          <w:tcPr>
            <w:tcW w:w="2860" w:type="dxa"/>
            <w:vAlign w:val="bottom"/>
            <w:shd w:val="clear" w:color="auto" w:fill="F3F3F3"/>
          </w:tcPr>
          <w:p>
            <w:pPr>
              <w:ind w:left="140"/>
              <w:spacing w:after="0"/>
              <w:rPr>
                <w:sz w:val="20"/>
                <w:szCs w:val="20"/>
                <w:color w:val="auto"/>
              </w:rPr>
            </w:pPr>
            <w:r>
              <w:rPr>
                <w:rFonts w:ascii="Arial" w:cs="Arial" w:eastAsia="Arial" w:hAnsi="Arial"/>
                <w:sz w:val="18"/>
                <w:szCs w:val="18"/>
                <w:b w:val="1"/>
                <w:bCs w:val="1"/>
                <w:color w:val="0033A0"/>
              </w:rPr>
              <w:t>William Appleton</w:t>
            </w:r>
          </w:p>
        </w:tc>
        <w:tc>
          <w:tcPr>
            <w:tcW w:w="940" w:type="dxa"/>
            <w:vAlign w:val="bottom"/>
            <w:gridSpan w:val="2"/>
            <w:shd w:val="clear" w:color="auto" w:fill="F3F3F3"/>
          </w:tcPr>
          <w:p>
            <w:pPr>
              <w:ind w:left="3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460,344</w:t>
            </w:r>
          </w:p>
        </w:tc>
        <w:tc>
          <w:tcPr>
            <w:tcW w:w="112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385,646</w:t>
            </w:r>
          </w:p>
        </w:tc>
        <w:tc>
          <w:tcPr>
            <w:tcW w:w="130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352,737</w:t>
            </w:r>
          </w:p>
        </w:tc>
        <w:tc>
          <w:tcPr>
            <w:tcW w:w="1300" w:type="dxa"/>
            <w:vAlign w:val="bottom"/>
            <w:shd w:val="clear" w:color="auto" w:fill="F3F3F3"/>
          </w:tcPr>
          <w:p>
            <w:pPr>
              <w:jc w:val="right"/>
              <w:ind w:right="82"/>
              <w:spacing w:after="0"/>
              <w:rPr>
                <w:sz w:val="20"/>
                <w:szCs w:val="20"/>
                <w:color w:val="auto"/>
              </w:rPr>
            </w:pPr>
            <w:r>
              <w:rPr>
                <w:rFonts w:ascii="Arial" w:cs="Arial" w:eastAsia="Arial" w:hAnsi="Arial"/>
                <w:sz w:val="16"/>
                <w:szCs w:val="16"/>
                <w:color w:val="auto"/>
              </w:rPr>
              <w:t>1,908</w:t>
            </w:r>
          </w:p>
        </w:tc>
        <w:tc>
          <w:tcPr>
            <w:tcW w:w="1440" w:type="dxa"/>
            <w:vAlign w:val="bottom"/>
            <w:shd w:val="clear" w:color="auto" w:fill="F3F3F3"/>
          </w:tcPr>
          <w:p>
            <w:pPr>
              <w:jc w:val="right"/>
              <w:ind w:right="201"/>
              <w:spacing w:after="0"/>
              <w:rPr>
                <w:sz w:val="20"/>
                <w:szCs w:val="20"/>
                <w:color w:val="auto"/>
              </w:rPr>
            </w:pPr>
            <w:r>
              <w:rPr>
                <w:rFonts w:ascii="Arial" w:cs="Arial" w:eastAsia="Arial" w:hAnsi="Arial"/>
                <w:sz w:val="16"/>
                <w:szCs w:val="16"/>
                <w:color w:val="auto"/>
              </w:rPr>
              <w:t>39,874</w:t>
            </w:r>
          </w:p>
        </w:tc>
        <w:tc>
          <w:tcPr>
            <w:tcW w:w="1060" w:type="dxa"/>
            <w:vAlign w:val="bottom"/>
            <w:shd w:val="clear" w:color="auto" w:fill="F3F3F3"/>
          </w:tcPr>
          <w:p>
            <w:pPr>
              <w:jc w:val="right"/>
              <w:ind w:right="60"/>
              <w:spacing w:after="0"/>
              <w:rPr>
                <w:sz w:val="20"/>
                <w:szCs w:val="20"/>
                <w:color w:val="auto"/>
              </w:rPr>
            </w:pPr>
            <w:r>
              <w:rPr>
                <w:rFonts w:ascii="Arial" w:cs="Arial" w:eastAsia="Arial" w:hAnsi="Arial"/>
                <w:sz w:val="16"/>
                <w:szCs w:val="16"/>
                <w:color w:val="auto"/>
              </w:rPr>
              <w:t>1,240,509</w:t>
            </w:r>
          </w:p>
        </w:tc>
        <w:tc>
          <w:tcPr>
            <w:tcW w:w="0" w:type="dxa"/>
            <w:vAlign w:val="bottom"/>
          </w:tcPr>
          <w:p>
            <w:pPr>
              <w:spacing w:after="0"/>
              <w:rPr>
                <w:sz w:val="1"/>
                <w:szCs w:val="1"/>
                <w:color w:val="auto"/>
              </w:rPr>
            </w:pPr>
          </w:p>
        </w:tc>
      </w:tr>
      <w:tr>
        <w:trPr>
          <w:trHeight w:val="229"/>
        </w:trPr>
        <w:tc>
          <w:tcPr>
            <w:tcW w:w="2860" w:type="dxa"/>
            <w:vAlign w:val="bottom"/>
            <w:shd w:val="clear" w:color="auto" w:fill="F3F3F3"/>
          </w:tcPr>
          <w:p>
            <w:pPr>
              <w:ind w:left="140"/>
              <w:spacing w:after="0"/>
              <w:rPr>
                <w:sz w:val="20"/>
                <w:szCs w:val="20"/>
                <w:color w:val="auto"/>
              </w:rPr>
            </w:pPr>
            <w:r>
              <w:rPr>
                <w:rFonts w:ascii="Arial" w:cs="Arial" w:eastAsia="Arial" w:hAnsi="Arial"/>
                <w:sz w:val="18"/>
                <w:szCs w:val="18"/>
                <w:i w:val="1"/>
                <w:iCs w:val="1"/>
                <w:color w:val="auto"/>
              </w:rPr>
              <w:t>Executive Vice President/</w:t>
            </w:r>
          </w:p>
        </w:tc>
        <w:tc>
          <w:tcPr>
            <w:tcW w:w="120" w:type="dxa"/>
            <w:vAlign w:val="bottom"/>
            <w:shd w:val="clear" w:color="auto" w:fill="F3F3F3"/>
          </w:tcPr>
          <w:p>
            <w:pPr>
              <w:spacing w:after="0"/>
              <w:rPr>
                <w:sz w:val="19"/>
                <w:szCs w:val="19"/>
                <w:color w:val="auto"/>
              </w:rPr>
            </w:pPr>
          </w:p>
        </w:tc>
        <w:tc>
          <w:tcPr>
            <w:tcW w:w="820" w:type="dxa"/>
            <w:vAlign w:val="bottom"/>
            <w:shd w:val="clear" w:color="auto" w:fill="F3F3F3"/>
          </w:tcPr>
          <w:p>
            <w:pPr>
              <w:ind w:left="20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494,000</w:t>
            </w:r>
          </w:p>
        </w:tc>
        <w:tc>
          <w:tcPr>
            <w:tcW w:w="112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658,935</w:t>
            </w:r>
          </w:p>
        </w:tc>
        <w:tc>
          <w:tcPr>
            <w:tcW w:w="1300" w:type="dxa"/>
            <w:vAlign w:val="bottom"/>
            <w:shd w:val="clear" w:color="auto" w:fill="F3F3F3"/>
          </w:tcPr>
          <w:p>
            <w:pPr>
              <w:jc w:val="right"/>
              <w:ind w:right="81"/>
              <w:spacing w:after="0"/>
              <w:rPr>
                <w:sz w:val="20"/>
                <w:szCs w:val="20"/>
                <w:color w:val="auto"/>
              </w:rPr>
            </w:pPr>
            <w:r>
              <w:rPr>
                <w:rFonts w:ascii="Arial" w:cs="Arial" w:eastAsia="Arial" w:hAnsi="Arial"/>
                <w:sz w:val="16"/>
                <w:szCs w:val="16"/>
                <w:color w:val="auto"/>
              </w:rPr>
              <w:t>345,306</w:t>
            </w:r>
          </w:p>
        </w:tc>
        <w:tc>
          <w:tcPr>
            <w:tcW w:w="1300" w:type="dxa"/>
            <w:vAlign w:val="bottom"/>
            <w:shd w:val="clear" w:color="auto" w:fill="F3F3F3"/>
          </w:tcPr>
          <w:p>
            <w:pPr>
              <w:jc w:val="right"/>
              <w:ind w:right="82"/>
              <w:spacing w:after="0"/>
              <w:rPr>
                <w:sz w:val="20"/>
                <w:szCs w:val="20"/>
                <w:color w:val="auto"/>
              </w:rPr>
            </w:pPr>
            <w:r>
              <w:rPr>
                <w:rFonts w:ascii="Arial" w:cs="Arial" w:eastAsia="Arial" w:hAnsi="Arial"/>
                <w:sz w:val="16"/>
                <w:szCs w:val="16"/>
                <w:color w:val="auto"/>
              </w:rPr>
              <w:t>3,687</w:t>
            </w:r>
          </w:p>
        </w:tc>
        <w:tc>
          <w:tcPr>
            <w:tcW w:w="1440" w:type="dxa"/>
            <w:vAlign w:val="bottom"/>
            <w:shd w:val="clear" w:color="auto" w:fill="F3F3F3"/>
          </w:tcPr>
          <w:p>
            <w:pPr>
              <w:jc w:val="right"/>
              <w:ind w:right="201"/>
              <w:spacing w:after="0"/>
              <w:rPr>
                <w:sz w:val="20"/>
                <w:szCs w:val="20"/>
                <w:color w:val="auto"/>
              </w:rPr>
            </w:pPr>
            <w:r>
              <w:rPr>
                <w:rFonts w:ascii="Arial" w:cs="Arial" w:eastAsia="Arial" w:hAnsi="Arial"/>
                <w:sz w:val="16"/>
                <w:szCs w:val="16"/>
                <w:color w:val="auto"/>
              </w:rPr>
              <w:t>40,557</w:t>
            </w:r>
          </w:p>
        </w:tc>
        <w:tc>
          <w:tcPr>
            <w:tcW w:w="1060" w:type="dxa"/>
            <w:vAlign w:val="bottom"/>
            <w:shd w:val="clear" w:color="auto" w:fill="F3F3F3"/>
          </w:tcPr>
          <w:p>
            <w:pPr>
              <w:jc w:val="right"/>
              <w:ind w:right="60"/>
              <w:spacing w:after="0"/>
              <w:rPr>
                <w:sz w:val="20"/>
                <w:szCs w:val="20"/>
                <w:color w:val="auto"/>
              </w:rPr>
            </w:pPr>
            <w:r>
              <w:rPr>
                <w:rFonts w:ascii="Arial" w:cs="Arial" w:eastAsia="Arial" w:hAnsi="Arial"/>
                <w:sz w:val="16"/>
                <w:szCs w:val="16"/>
                <w:color w:val="auto"/>
              </w:rPr>
              <w:t>1,542,485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F3F3F3"/>
          </w:tcPr>
          <w:p>
            <w:pPr>
              <w:ind w:left="140"/>
              <w:spacing w:after="0"/>
              <w:rPr>
                <w:sz w:val="20"/>
                <w:szCs w:val="20"/>
                <w:color w:val="auto"/>
              </w:rPr>
            </w:pPr>
            <w:r>
              <w:rPr>
                <w:rFonts w:ascii="Arial" w:cs="Arial" w:eastAsia="Arial" w:hAnsi="Arial"/>
                <w:sz w:val="18"/>
                <w:szCs w:val="18"/>
                <w:i w:val="1"/>
                <w:iCs w:val="1"/>
                <w:color w:val="auto"/>
              </w:rPr>
              <w:t>General Counsel</w:t>
            </w:r>
          </w:p>
        </w:tc>
        <w:tc>
          <w:tcPr>
            <w:tcW w:w="120" w:type="dxa"/>
            <w:vAlign w:val="bottom"/>
            <w:tcBorders>
              <w:bottom w:val="single" w:sz="8" w:color="auto"/>
            </w:tcBorders>
            <w:shd w:val="clear" w:color="auto" w:fill="F3F3F3"/>
          </w:tcPr>
          <w:p>
            <w:pPr>
              <w:spacing w:after="0"/>
              <w:rPr>
                <w:sz w:val="19"/>
                <w:szCs w:val="19"/>
                <w:color w:val="auto"/>
              </w:rPr>
            </w:pPr>
          </w:p>
        </w:tc>
        <w:tc>
          <w:tcPr>
            <w:tcW w:w="820" w:type="dxa"/>
            <w:vAlign w:val="bottom"/>
            <w:tcBorders>
              <w:bottom w:val="single" w:sz="8" w:color="auto"/>
            </w:tcBorders>
            <w:shd w:val="clear" w:color="auto" w:fill="F3F3F3"/>
          </w:tcPr>
          <w:p>
            <w:pPr>
              <w:ind w:left="200"/>
              <w:spacing w:after="0"/>
              <w:rPr>
                <w:sz w:val="20"/>
                <w:szCs w:val="20"/>
                <w:color w:val="auto"/>
              </w:rPr>
            </w:pPr>
            <w:r>
              <w:rPr>
                <w:rFonts w:ascii="Arial" w:cs="Arial" w:eastAsia="Arial" w:hAnsi="Arial"/>
                <w:sz w:val="16"/>
                <w:szCs w:val="16"/>
                <w:color w:val="auto"/>
              </w:rPr>
              <w:t>2018</w:t>
            </w:r>
          </w:p>
        </w:tc>
        <w:tc>
          <w:tcPr>
            <w:tcW w:w="1220" w:type="dxa"/>
            <w:vAlign w:val="bottom"/>
            <w:tcBorders>
              <w:bottom w:val="single" w:sz="8" w:color="auto"/>
            </w:tcBorders>
            <w:shd w:val="clear" w:color="auto" w:fill="F3F3F3"/>
          </w:tcPr>
          <w:p>
            <w:pPr>
              <w:jc w:val="right"/>
              <w:ind w:right="160"/>
              <w:spacing w:after="0"/>
              <w:rPr>
                <w:sz w:val="20"/>
                <w:szCs w:val="20"/>
                <w:color w:val="auto"/>
              </w:rPr>
            </w:pPr>
            <w:r>
              <w:rPr>
                <w:rFonts w:ascii="Arial" w:cs="Arial" w:eastAsia="Arial" w:hAnsi="Arial"/>
                <w:sz w:val="16"/>
                <w:szCs w:val="16"/>
                <w:color w:val="auto"/>
              </w:rPr>
              <w:t>475,000</w:t>
            </w:r>
          </w:p>
        </w:tc>
        <w:tc>
          <w:tcPr>
            <w:tcW w:w="1120" w:type="dxa"/>
            <w:vAlign w:val="bottom"/>
            <w:tcBorders>
              <w:bottom w:val="single" w:sz="8" w:color="auto"/>
            </w:tcBorders>
            <w:shd w:val="clear" w:color="auto" w:fill="F3F3F3"/>
          </w:tcPr>
          <w:p>
            <w:pPr>
              <w:jc w:val="right"/>
              <w:ind w:right="81"/>
              <w:spacing w:after="0"/>
              <w:rPr>
                <w:sz w:val="20"/>
                <w:szCs w:val="20"/>
                <w:color w:val="auto"/>
              </w:rPr>
            </w:pPr>
            <w:r>
              <w:rPr>
                <w:rFonts w:ascii="Arial" w:cs="Arial" w:eastAsia="Arial" w:hAnsi="Arial"/>
                <w:sz w:val="16"/>
                <w:szCs w:val="16"/>
                <w:color w:val="auto"/>
              </w:rPr>
              <w:t>441,037</w:t>
            </w:r>
          </w:p>
        </w:tc>
        <w:tc>
          <w:tcPr>
            <w:tcW w:w="1300" w:type="dxa"/>
            <w:vAlign w:val="bottom"/>
            <w:tcBorders>
              <w:bottom w:val="single" w:sz="8" w:color="auto"/>
            </w:tcBorders>
            <w:shd w:val="clear" w:color="auto" w:fill="F3F3F3"/>
          </w:tcPr>
          <w:p>
            <w:pPr>
              <w:jc w:val="right"/>
              <w:ind w:right="81"/>
              <w:spacing w:after="0"/>
              <w:rPr>
                <w:sz w:val="20"/>
                <w:szCs w:val="20"/>
                <w:color w:val="auto"/>
              </w:rPr>
            </w:pPr>
            <w:r>
              <w:rPr>
                <w:rFonts w:ascii="Arial" w:cs="Arial" w:eastAsia="Arial" w:hAnsi="Arial"/>
                <w:sz w:val="16"/>
                <w:szCs w:val="16"/>
                <w:color w:val="auto"/>
              </w:rPr>
              <w:t>356,963</w:t>
            </w:r>
          </w:p>
        </w:tc>
        <w:tc>
          <w:tcPr>
            <w:tcW w:w="1300" w:type="dxa"/>
            <w:vAlign w:val="bottom"/>
            <w:tcBorders>
              <w:bottom w:val="single" w:sz="8" w:color="auto"/>
            </w:tcBorders>
            <w:shd w:val="clear" w:color="auto" w:fill="F3F3F3"/>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F3F3F3"/>
          </w:tcPr>
          <w:p>
            <w:pPr>
              <w:jc w:val="right"/>
              <w:ind w:right="201"/>
              <w:spacing w:after="0"/>
              <w:rPr>
                <w:sz w:val="20"/>
                <w:szCs w:val="20"/>
                <w:color w:val="auto"/>
              </w:rPr>
            </w:pPr>
            <w:r>
              <w:rPr>
                <w:rFonts w:ascii="Arial" w:cs="Arial" w:eastAsia="Arial" w:hAnsi="Arial"/>
                <w:sz w:val="16"/>
                <w:szCs w:val="16"/>
                <w:color w:val="auto"/>
              </w:rPr>
              <w:t>37,209</w:t>
            </w:r>
          </w:p>
        </w:tc>
        <w:tc>
          <w:tcPr>
            <w:tcW w:w="1060" w:type="dxa"/>
            <w:vAlign w:val="bottom"/>
            <w:tcBorders>
              <w:bottom w:val="single" w:sz="8" w:color="auto"/>
            </w:tcBorders>
            <w:shd w:val="clear" w:color="auto" w:fill="F3F3F3"/>
          </w:tcPr>
          <w:p>
            <w:pPr>
              <w:jc w:val="right"/>
              <w:ind w:right="60"/>
              <w:spacing w:after="0"/>
              <w:rPr>
                <w:sz w:val="20"/>
                <w:szCs w:val="20"/>
                <w:color w:val="auto"/>
              </w:rPr>
            </w:pPr>
            <w:r>
              <w:rPr>
                <w:rFonts w:ascii="Arial" w:cs="Arial" w:eastAsia="Arial" w:hAnsi="Arial"/>
                <w:sz w:val="16"/>
                <w:szCs w:val="16"/>
                <w:color w:val="auto"/>
              </w:rPr>
              <w:t>1,310,209</w:t>
            </w:r>
          </w:p>
        </w:tc>
        <w:tc>
          <w:tcPr>
            <w:tcW w:w="0" w:type="dxa"/>
            <w:vAlign w:val="bottom"/>
          </w:tcPr>
          <w:p>
            <w:pPr>
              <w:spacing w:after="0"/>
              <w:rPr>
                <w:sz w:val="1"/>
                <w:szCs w:val="1"/>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b w:val="1"/>
                <w:bCs w:val="1"/>
                <w:color w:val="0033A0"/>
              </w:rPr>
              <w:t>Laura M. Tomlin</w:t>
            </w: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333,443</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283,563</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222,480</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32,258</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871,744</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333,462</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399,670</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191,280</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26,686</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951,098</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National Media</w:t>
            </w: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color w:val="auto"/>
              </w:rPr>
              <w:t>2018</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310,000</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220,505</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213,900</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14,079</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758,484</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260" w:right="20" w:hanging="252"/>
        <w:spacing w:after="0" w:line="245" w:lineRule="auto"/>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aggregate grant date fair value, as determined in accordance with Financial Accounting Standards Board Accounting Standards Codification Topic 718, Compensation — Stock Compensation (“FASB ASC Topic 718”), of time-based restricted share units and performance-based restricted share units (based on the probable outcome of the performance condition as of the date of grant) in the applicable year, disregarding the impact of estimated forfeitures. See footnote 18 of the Consolidated Financial Statements contained in our Annual Report on Form 10-K for the year ended December 31, 2020 (“2020 Annual Report”), for an explanation of the assumptions made in the valuation of the awards. The aggregate grant date fair value of the performance-based restricted share units granted in 2020, assuming the highest level of performance would be achieved, is as follows: Mr. Symson, $1,837,476; Ms. Knutson, $249,538; Mr. Lawlor, $272,215; Mr. Appleton, $231,391; and Ms. Tomlin, $170,141. The Company met the performance metrics necessary for a 105% payout of the performance-based restricted share units granted in 2020. The Company met the performance metrics necessary for a 120% payout of the performance-based restricted share units granted in 2019. The Company met the performance metrics necessary for a 126% payout of the performance-based restricted share units granted in 2018.</w:t>
      </w:r>
    </w:p>
    <w:p>
      <w:pPr>
        <w:spacing w:after="0" w:line="75" w:lineRule="exact"/>
        <w:rPr>
          <w:rFonts w:ascii="Arial" w:cs="Arial" w:eastAsia="Arial" w:hAnsi="Arial"/>
          <w:sz w:val="13"/>
          <w:szCs w:val="13"/>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short-term incentive earned in the applicable year.</w:t>
      </w:r>
    </w:p>
    <w:p>
      <w:pPr>
        <w:spacing w:after="0" w:line="95" w:lineRule="exact"/>
        <w:rPr>
          <w:rFonts w:ascii="Arial" w:cs="Arial" w:eastAsia="Arial" w:hAnsi="Arial"/>
          <w:sz w:val="14"/>
          <w:szCs w:val="14"/>
          <w:color w:val="auto"/>
        </w:rPr>
      </w:pPr>
    </w:p>
    <w:p>
      <w:pPr>
        <w:jc w:val="both"/>
        <w:ind w:left="260" w:right="40" w:hanging="252"/>
        <w:spacing w:after="0" w:line="255" w:lineRule="auto"/>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change in the present value of the accumulated benefits under the pension plan and the Scripps Supplemental Executive Retirement Plan (SERP) for the applicable year. In 2018, the values in these plans decreased for Mr. Symson ($39,126), Ms. Knutson ($20,175), Mr. Lawlor ($124,340), and Mr. Appleton ($7,618) due to an increase in discount rates and change in the mortality tables. Our named executive officers did not accrue any preferential or above-market earnings on nonqualified deferred compensation. The Company froze service accruals in the pension plan and SERP effective June 30, 2009 and froze all compensation accruals after 2014. Ms. Tomlin is not eligible for the pension plan or SERP.</w:t>
      </w:r>
    </w:p>
    <w:p>
      <w:pPr>
        <w:spacing w:after="0" w:line="66" w:lineRule="exact"/>
        <w:rPr>
          <w:rFonts w:ascii="Arial" w:cs="Arial" w:eastAsia="Arial" w:hAnsi="Arial"/>
          <w:sz w:val="13"/>
          <w:szCs w:val="13"/>
          <w:color w:val="auto"/>
        </w:rPr>
      </w:pPr>
    </w:p>
    <w:p>
      <w:pPr>
        <w:ind w:left="260" w:right="20" w:hanging="252"/>
        <w:spacing w:after="0" w:line="253"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perquisites and other benefits earned in the applicable year. The benefits for 2020 are outlined in the table below. For more information about these benefits, please refer to the Compensation Discussion and Analysis (“CD&amp;A”) section of this Proxy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00" w:type="dxa"/>
            <w:vAlign w:val="bottom"/>
            <w:tcBorders>
              <w:top w:val="single" w:sz="8" w:color="BFBFBF"/>
            </w:tcBorders>
            <w:shd w:val="clear" w:color="auto" w:fill="E7E7E8"/>
          </w:tcPr>
          <w:p>
            <w:pPr>
              <w:spacing w:after="0"/>
              <w:rPr>
                <w:sz w:val="14"/>
                <w:szCs w:val="14"/>
                <w:color w:val="auto"/>
              </w:rPr>
            </w:pPr>
          </w:p>
        </w:tc>
        <w:tc>
          <w:tcPr>
            <w:tcW w:w="1620" w:type="dxa"/>
            <w:vAlign w:val="bottom"/>
            <w:tcBorders>
              <w:top w:val="single" w:sz="8" w:color="BFBFBF"/>
            </w:tcBorders>
            <w:shd w:val="clear" w:color="auto" w:fill="E7E7E8"/>
          </w:tcPr>
          <w:p>
            <w:pPr>
              <w:jc w:val="center"/>
              <w:ind w:left="442"/>
              <w:spacing w:after="0"/>
              <w:rPr>
                <w:sz w:val="20"/>
                <w:szCs w:val="20"/>
                <w:color w:val="auto"/>
              </w:rPr>
            </w:pPr>
            <w:r>
              <w:rPr>
                <w:rFonts w:ascii="Arial" w:cs="Arial" w:eastAsia="Arial" w:hAnsi="Arial"/>
                <w:sz w:val="14"/>
                <w:szCs w:val="14"/>
                <w:b w:val="1"/>
                <w:bCs w:val="1"/>
                <w:color w:val="0033A0"/>
                <w:w w:val="95"/>
              </w:rPr>
              <w:t>Financial</w:t>
            </w:r>
          </w:p>
        </w:tc>
        <w:tc>
          <w:tcPr>
            <w:tcW w:w="1380" w:type="dxa"/>
            <w:vAlign w:val="bottom"/>
            <w:tcBorders>
              <w:top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6"/>
              </w:rPr>
              <w:t>Charitable</w:t>
            </w:r>
          </w:p>
        </w:tc>
        <w:tc>
          <w:tcPr>
            <w:tcW w:w="1120" w:type="dxa"/>
            <w:vAlign w:val="bottom"/>
            <w:tcBorders>
              <w:top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1"/>
              </w:rPr>
              <w:t>Executive</w:t>
            </w:r>
          </w:p>
        </w:tc>
        <w:tc>
          <w:tcPr>
            <w:tcW w:w="1360" w:type="dxa"/>
            <w:vAlign w:val="bottom"/>
            <w:tcBorders>
              <w:top w:val="single" w:sz="8" w:color="BFBFBF"/>
            </w:tcBorders>
            <w:shd w:val="clear" w:color="auto" w:fill="E7E7E8"/>
          </w:tcPr>
          <w:p>
            <w:pPr>
              <w:ind w:left="380"/>
              <w:spacing w:after="0"/>
              <w:rPr>
                <w:sz w:val="20"/>
                <w:szCs w:val="20"/>
                <w:color w:val="auto"/>
              </w:rPr>
            </w:pPr>
            <w:r>
              <w:rPr>
                <w:rFonts w:ascii="Arial" w:cs="Arial" w:eastAsia="Arial" w:hAnsi="Arial"/>
                <w:sz w:val="14"/>
                <w:szCs w:val="14"/>
                <w:b w:val="1"/>
                <w:bCs w:val="1"/>
                <w:color w:val="0033A0"/>
              </w:rPr>
              <w:t>Matching</w:t>
            </w:r>
          </w:p>
        </w:tc>
        <w:tc>
          <w:tcPr>
            <w:tcW w:w="860" w:type="dxa"/>
            <w:vAlign w:val="bottom"/>
            <w:tcBorders>
              <w:top w:val="single" w:sz="8" w:color="BFBFBF"/>
            </w:tcBorders>
            <w:shd w:val="clear" w:color="auto" w:fill="E7E7E8"/>
          </w:tcPr>
          <w:p>
            <w:pPr>
              <w:ind w:left="300"/>
              <w:spacing w:after="0"/>
              <w:rPr>
                <w:sz w:val="20"/>
                <w:szCs w:val="20"/>
                <w:color w:val="auto"/>
              </w:rPr>
            </w:pPr>
            <w:r>
              <w:rPr>
                <w:rFonts w:ascii="Arial" w:cs="Arial" w:eastAsia="Arial" w:hAnsi="Arial"/>
                <w:sz w:val="14"/>
                <w:szCs w:val="14"/>
                <w:b w:val="1"/>
                <w:bCs w:val="1"/>
                <w:color w:val="0033A0"/>
                <w:w w:val="91"/>
              </w:rPr>
              <w:t>Personal</w:t>
            </w:r>
          </w:p>
        </w:tc>
        <w:tc>
          <w:tcPr>
            <w:tcW w:w="1600" w:type="dxa"/>
            <w:vAlign w:val="bottom"/>
            <w:tcBorders>
              <w:top w:val="single" w:sz="8" w:color="BFBFBF"/>
            </w:tcBorders>
            <w:vMerge w:val="restart"/>
            <w:shd w:val="clear" w:color="auto" w:fill="E7E7E8"/>
          </w:tcPr>
          <w:p>
            <w:pPr>
              <w:jc w:val="center"/>
              <w:ind w:left="240"/>
              <w:spacing w:after="0"/>
              <w:rPr>
                <w:sz w:val="20"/>
                <w:szCs w:val="20"/>
                <w:color w:val="auto"/>
              </w:rPr>
            </w:pPr>
            <w:r>
              <w:rPr>
                <w:rFonts w:ascii="Arial" w:cs="Arial" w:eastAsia="Arial" w:hAnsi="Arial"/>
                <w:sz w:val="14"/>
                <w:szCs w:val="14"/>
                <w:b w:val="1"/>
                <w:bCs w:val="1"/>
                <w:color w:val="0033A0"/>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1620" w:type="dxa"/>
            <w:vAlign w:val="bottom"/>
            <w:shd w:val="clear" w:color="auto" w:fill="E7E7E8"/>
          </w:tcPr>
          <w:p>
            <w:pPr>
              <w:jc w:val="center"/>
              <w:ind w:left="442"/>
              <w:spacing w:after="0" w:line="149" w:lineRule="exact"/>
              <w:rPr>
                <w:sz w:val="20"/>
                <w:szCs w:val="20"/>
                <w:color w:val="auto"/>
              </w:rPr>
            </w:pPr>
            <w:r>
              <w:rPr>
                <w:rFonts w:ascii="Arial" w:cs="Arial" w:eastAsia="Arial" w:hAnsi="Arial"/>
                <w:sz w:val="14"/>
                <w:szCs w:val="14"/>
                <w:b w:val="1"/>
                <w:bCs w:val="1"/>
                <w:color w:val="0033A0"/>
                <w:w w:val="91"/>
              </w:rPr>
              <w:t>Planning</w:t>
            </w:r>
          </w:p>
        </w:tc>
        <w:tc>
          <w:tcPr>
            <w:tcW w:w="138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3"/>
              </w:rPr>
              <w:t>Contributions</w:t>
            </w:r>
          </w:p>
        </w:tc>
        <w:tc>
          <w:tcPr>
            <w:tcW w:w="112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87"/>
              </w:rPr>
              <w:t>Physical</w:t>
            </w:r>
          </w:p>
        </w:tc>
        <w:tc>
          <w:tcPr>
            <w:tcW w:w="1360" w:type="dxa"/>
            <w:vAlign w:val="bottom"/>
            <w:shd w:val="clear" w:color="auto" w:fill="E7E7E8"/>
          </w:tcPr>
          <w:p>
            <w:pPr>
              <w:ind w:left="280"/>
              <w:spacing w:after="0" w:line="149" w:lineRule="exact"/>
              <w:rPr>
                <w:sz w:val="20"/>
                <w:szCs w:val="20"/>
                <w:color w:val="auto"/>
              </w:rPr>
            </w:pPr>
            <w:r>
              <w:rPr>
                <w:rFonts w:ascii="Arial" w:cs="Arial" w:eastAsia="Arial" w:hAnsi="Arial"/>
                <w:sz w:val="14"/>
                <w:szCs w:val="14"/>
                <w:b w:val="1"/>
                <w:bCs w:val="1"/>
                <w:color w:val="0033A0"/>
              </w:rPr>
              <w:t>Contribution</w:t>
            </w:r>
          </w:p>
        </w:tc>
        <w:tc>
          <w:tcPr>
            <w:tcW w:w="860" w:type="dxa"/>
            <w:vAlign w:val="bottom"/>
            <w:shd w:val="clear" w:color="auto" w:fill="E7E7E8"/>
          </w:tcPr>
          <w:p>
            <w:pPr>
              <w:ind w:left="320"/>
              <w:spacing w:after="0" w:line="149" w:lineRule="exact"/>
              <w:rPr>
                <w:sz w:val="20"/>
                <w:szCs w:val="20"/>
                <w:color w:val="auto"/>
              </w:rPr>
            </w:pPr>
            <w:r>
              <w:rPr>
                <w:rFonts w:ascii="Arial" w:cs="Arial" w:eastAsia="Arial" w:hAnsi="Arial"/>
                <w:sz w:val="14"/>
                <w:szCs w:val="14"/>
                <w:b w:val="1"/>
                <w:bCs w:val="1"/>
                <w:color w:val="0033A0"/>
              </w:rPr>
              <w:t>Aircraft</w:t>
            </w:r>
          </w:p>
        </w:tc>
        <w:tc>
          <w:tcPr>
            <w:tcW w:w="1600" w:type="dxa"/>
            <w:vAlign w:val="bottom"/>
            <w:vMerge w:val="continue"/>
            <w:shd w:val="clear" w:color="auto" w:fill="E7E7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00" w:type="dxa"/>
            <w:vAlign w:val="bottom"/>
            <w:tcBorders>
              <w:bottom w:val="single" w:sz="8" w:color="BFBFBF"/>
            </w:tcBorders>
            <w:vMerge w:val="continue"/>
            <w:shd w:val="clear" w:color="auto" w:fill="E7E7E8"/>
          </w:tcPr>
          <w:p>
            <w:pPr>
              <w:spacing w:after="0"/>
              <w:rPr>
                <w:sz w:val="15"/>
                <w:szCs w:val="15"/>
                <w:color w:val="auto"/>
              </w:rPr>
            </w:pPr>
          </w:p>
        </w:tc>
        <w:tc>
          <w:tcPr>
            <w:tcW w:w="1620" w:type="dxa"/>
            <w:vAlign w:val="bottom"/>
            <w:tcBorders>
              <w:bottom w:val="single" w:sz="8" w:color="BFBFBF"/>
            </w:tcBorders>
            <w:shd w:val="clear" w:color="auto" w:fill="E7E7E8"/>
          </w:tcPr>
          <w:p>
            <w:pPr>
              <w:jc w:val="center"/>
              <w:ind w:left="422"/>
              <w:spacing w:after="0"/>
              <w:rPr>
                <w:sz w:val="20"/>
                <w:szCs w:val="20"/>
                <w:color w:val="auto"/>
              </w:rPr>
            </w:pPr>
            <w:r>
              <w:rPr>
                <w:rFonts w:ascii="Arial" w:cs="Arial" w:eastAsia="Arial" w:hAnsi="Arial"/>
                <w:sz w:val="14"/>
                <w:szCs w:val="14"/>
                <w:b w:val="1"/>
                <w:bCs w:val="1"/>
                <w:color w:val="0033A0"/>
                <w:w w:val="98"/>
              </w:rPr>
              <w:t>($)</w:t>
            </w:r>
            <w:r>
              <w:rPr>
                <w:rFonts w:ascii="Arial" w:cs="Arial" w:eastAsia="Arial" w:hAnsi="Arial"/>
                <w:sz w:val="12"/>
                <w:szCs w:val="12"/>
                <w:b w:val="1"/>
                <w:bCs w:val="1"/>
                <w:color w:val="0033A0"/>
                <w:w w:val="98"/>
              </w:rPr>
              <w:t>(i)</w:t>
            </w:r>
          </w:p>
        </w:tc>
        <w:tc>
          <w:tcPr>
            <w:tcW w:w="1380" w:type="dxa"/>
            <w:vAlign w:val="bottom"/>
            <w:tcBorders>
              <w:bottom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(ii)</w:t>
            </w:r>
          </w:p>
        </w:tc>
        <w:tc>
          <w:tcPr>
            <w:tcW w:w="1120" w:type="dxa"/>
            <w:vAlign w:val="bottom"/>
            <w:tcBorders>
              <w:bottom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6"/>
              </w:rPr>
              <w:t>($)</w:t>
            </w:r>
            <w:r>
              <w:rPr>
                <w:rFonts w:ascii="Arial" w:cs="Arial" w:eastAsia="Arial" w:hAnsi="Arial"/>
                <w:sz w:val="12"/>
                <w:szCs w:val="12"/>
                <w:b w:val="1"/>
                <w:bCs w:val="1"/>
                <w:color w:val="0033A0"/>
                <w:w w:val="96"/>
              </w:rPr>
              <w:t>(iii)</w:t>
            </w:r>
          </w:p>
        </w:tc>
        <w:tc>
          <w:tcPr>
            <w:tcW w:w="1360" w:type="dxa"/>
            <w:vAlign w:val="bottom"/>
            <w:tcBorders>
              <w:bottom w:val="single" w:sz="8" w:color="BFBFBF"/>
            </w:tcBorders>
            <w:shd w:val="clear" w:color="auto" w:fill="E7E7E8"/>
          </w:tcPr>
          <w:p>
            <w:pPr>
              <w:ind w:left="500"/>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(iv)</w:t>
            </w:r>
          </w:p>
        </w:tc>
        <w:tc>
          <w:tcPr>
            <w:tcW w:w="860" w:type="dxa"/>
            <w:vAlign w:val="bottom"/>
            <w:tcBorders>
              <w:bottom w:val="single" w:sz="8" w:color="BFBFBF"/>
            </w:tcBorders>
            <w:shd w:val="clear" w:color="auto" w:fill="E7E7E8"/>
          </w:tcPr>
          <w:p>
            <w:pPr>
              <w:ind w:left="300"/>
              <w:spacing w:after="0"/>
              <w:rPr>
                <w:sz w:val="20"/>
                <w:szCs w:val="20"/>
                <w:color w:val="auto"/>
              </w:rPr>
            </w:pPr>
            <w:r>
              <w:rPr>
                <w:rFonts w:ascii="Arial" w:cs="Arial" w:eastAsia="Arial" w:hAnsi="Arial"/>
                <w:sz w:val="14"/>
                <w:szCs w:val="14"/>
                <w:b w:val="1"/>
                <w:bCs w:val="1"/>
                <w:color w:val="0033A0"/>
                <w:w w:val="96"/>
              </w:rPr>
              <w:t>Travel</w:t>
            </w:r>
            <w:r>
              <w:rPr>
                <w:rFonts w:ascii="Arial" w:cs="Arial" w:eastAsia="Arial" w:hAnsi="Arial"/>
                <w:sz w:val="12"/>
                <w:szCs w:val="12"/>
                <w:b w:val="1"/>
                <w:bCs w:val="1"/>
                <w:color w:val="0033A0"/>
                <w:w w:val="96"/>
              </w:rPr>
              <w:t>(v)</w:t>
            </w:r>
          </w:p>
        </w:tc>
        <w:tc>
          <w:tcPr>
            <w:tcW w:w="1600" w:type="dxa"/>
            <w:vAlign w:val="bottom"/>
            <w:tcBorders>
              <w:bottom w:val="single" w:sz="8" w:color="BFBFBF"/>
            </w:tcBorders>
            <w:shd w:val="clear" w:color="auto" w:fill="E7E7E8"/>
          </w:tcPr>
          <w:p>
            <w:pPr>
              <w:jc w:val="right"/>
              <w:ind w:right="480"/>
              <w:spacing w:after="0"/>
              <w:rPr>
                <w:sz w:val="20"/>
                <w:szCs w:val="20"/>
                <w:color w:val="auto"/>
              </w:rPr>
            </w:pPr>
            <w:r>
              <w:rPr>
                <w:rFonts w:ascii="Arial" w:cs="Arial" w:eastAsia="Arial" w:hAnsi="Arial"/>
                <w:sz w:val="14"/>
                <w:szCs w:val="14"/>
                <w:b w:val="1"/>
                <w:bCs w:val="1"/>
                <w:color w:val="0033A0"/>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1620" w:type="dxa"/>
            <w:vAlign w:val="bottom"/>
            <w:tcBorders>
              <w:bottom w:val="single" w:sz="8" w:color="BFBFBF"/>
            </w:tcBorders>
          </w:tcPr>
          <w:p>
            <w:pPr>
              <w:jc w:val="center"/>
              <w:ind w:left="542"/>
              <w:spacing w:after="0"/>
              <w:rPr>
                <w:sz w:val="20"/>
                <w:szCs w:val="20"/>
                <w:color w:val="auto"/>
              </w:rPr>
            </w:pPr>
            <w:r>
              <w:rPr>
                <w:rFonts w:ascii="Arial" w:cs="Arial" w:eastAsia="Arial" w:hAnsi="Arial"/>
                <w:sz w:val="16"/>
                <w:szCs w:val="16"/>
                <w:color w:val="auto"/>
                <w:w w:val="89"/>
              </w:rPr>
              <w:t>15,000</w:t>
            </w:r>
          </w:p>
        </w:tc>
        <w:tc>
          <w:tcPr>
            <w:tcW w:w="1380" w:type="dxa"/>
            <w:vAlign w:val="bottom"/>
            <w:tcBorders>
              <w:bottom w:val="single" w:sz="8" w:color="BFBFBF"/>
            </w:tcBorders>
          </w:tcPr>
          <w:p>
            <w:pPr>
              <w:jc w:val="center"/>
              <w:ind w:left="17"/>
              <w:spacing w:after="0"/>
              <w:rPr>
                <w:sz w:val="20"/>
                <w:szCs w:val="20"/>
                <w:color w:val="auto"/>
              </w:rPr>
            </w:pPr>
            <w:r>
              <w:rPr>
                <w:rFonts w:ascii="Arial" w:cs="Arial" w:eastAsia="Arial" w:hAnsi="Arial"/>
                <w:sz w:val="16"/>
                <w:szCs w:val="16"/>
                <w:color w:val="auto"/>
                <w:w w:val="89"/>
              </w:rPr>
              <w:t>2,500</w:t>
            </w:r>
          </w:p>
        </w:tc>
        <w:tc>
          <w:tcPr>
            <w:tcW w:w="1120" w:type="dxa"/>
            <w:vAlign w:val="bottom"/>
            <w:tcBorders>
              <w:bottom w:val="single" w:sz="8" w:color="BFBFBF"/>
            </w:tcBorders>
          </w:tcPr>
          <w:p>
            <w:pPr>
              <w:jc w:val="center"/>
              <w:ind w:left="2"/>
              <w:spacing w:after="0"/>
              <w:rPr>
                <w:sz w:val="20"/>
                <w:szCs w:val="20"/>
                <w:color w:val="auto"/>
              </w:rPr>
            </w:pPr>
            <w:r>
              <w:rPr>
                <w:rFonts w:ascii="Arial" w:cs="Arial" w:eastAsia="Arial" w:hAnsi="Arial"/>
                <w:sz w:val="16"/>
                <w:szCs w:val="16"/>
                <w:color w:val="auto"/>
                <w:w w:val="89"/>
              </w:rPr>
              <w:t>2,408</w:t>
            </w:r>
          </w:p>
        </w:tc>
        <w:tc>
          <w:tcPr>
            <w:tcW w:w="1360" w:type="dxa"/>
            <w:vAlign w:val="bottom"/>
            <w:tcBorders>
              <w:bottom w:val="single" w:sz="8" w:color="BFBFBF"/>
            </w:tcBorders>
          </w:tcPr>
          <w:p>
            <w:pPr>
              <w:ind w:left="500"/>
              <w:spacing w:after="0"/>
              <w:rPr>
                <w:sz w:val="20"/>
                <w:szCs w:val="20"/>
                <w:color w:val="auto"/>
              </w:rPr>
            </w:pPr>
            <w:r>
              <w:rPr>
                <w:rFonts w:ascii="Arial" w:cs="Arial" w:eastAsia="Arial" w:hAnsi="Arial"/>
                <w:sz w:val="16"/>
                <w:szCs w:val="16"/>
                <w:color w:val="auto"/>
              </w:rPr>
              <w:t>72,538</w:t>
            </w:r>
          </w:p>
        </w:tc>
        <w:tc>
          <w:tcPr>
            <w:tcW w:w="860" w:type="dxa"/>
            <w:vAlign w:val="bottom"/>
            <w:tcBorders>
              <w:bottom w:val="single" w:sz="8" w:color="BFBFBF"/>
            </w:tcBorders>
          </w:tcPr>
          <w:p>
            <w:pPr>
              <w:jc w:val="center"/>
              <w:ind w:left="302"/>
              <w:spacing w:after="0"/>
              <w:rPr>
                <w:sz w:val="20"/>
                <w:szCs w:val="20"/>
                <w:color w:val="auto"/>
              </w:rPr>
            </w:pPr>
            <w:r>
              <w:rPr>
                <w:rFonts w:ascii="Arial" w:cs="Arial" w:eastAsia="Arial" w:hAnsi="Arial"/>
                <w:sz w:val="16"/>
                <w:szCs w:val="16"/>
                <w:color w:val="auto"/>
                <w:w w:val="89"/>
              </w:rPr>
              <w:t>27,708</w:t>
            </w:r>
          </w:p>
        </w:tc>
        <w:tc>
          <w:tcPr>
            <w:tcW w:w="1600" w:type="dxa"/>
            <w:vAlign w:val="bottom"/>
            <w:tcBorders>
              <w:bottom w:val="single" w:sz="8" w:color="BFBFBF"/>
            </w:tcBorders>
          </w:tcPr>
          <w:p>
            <w:pPr>
              <w:jc w:val="center"/>
              <w:ind w:left="340"/>
              <w:spacing w:after="0"/>
              <w:rPr>
                <w:sz w:val="20"/>
                <w:szCs w:val="20"/>
                <w:color w:val="auto"/>
              </w:rPr>
            </w:pPr>
            <w:r>
              <w:rPr>
                <w:rFonts w:ascii="Arial" w:cs="Arial" w:eastAsia="Arial" w:hAnsi="Arial"/>
                <w:sz w:val="16"/>
                <w:szCs w:val="16"/>
                <w:color w:val="auto"/>
                <w:w w:val="93"/>
              </w:rPr>
              <w:t>120,154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1620" w:type="dxa"/>
            <w:vAlign w:val="bottom"/>
            <w:tcBorders>
              <w:bottom w:val="single" w:sz="8" w:color="BFBFBF"/>
            </w:tcBorders>
            <w:shd w:val="clear" w:color="auto" w:fill="F3F3F3"/>
          </w:tcPr>
          <w:p>
            <w:pPr>
              <w:jc w:val="center"/>
              <w:ind w:left="542"/>
              <w:spacing w:after="0"/>
              <w:rPr>
                <w:sz w:val="20"/>
                <w:szCs w:val="20"/>
                <w:color w:val="auto"/>
              </w:rPr>
            </w:pPr>
            <w:r>
              <w:rPr>
                <w:rFonts w:ascii="Arial" w:cs="Arial" w:eastAsia="Arial" w:hAnsi="Arial"/>
                <w:sz w:val="16"/>
                <w:szCs w:val="16"/>
                <w:color w:val="auto"/>
                <w:w w:val="89"/>
              </w:rPr>
              <w:t>11,000</w:t>
            </w:r>
          </w:p>
        </w:tc>
        <w:tc>
          <w:tcPr>
            <w:tcW w:w="1380" w:type="dxa"/>
            <w:vAlign w:val="bottom"/>
            <w:tcBorders>
              <w:bottom w:val="single" w:sz="8" w:color="BFBFBF"/>
            </w:tcBorders>
            <w:shd w:val="clear" w:color="auto" w:fill="F3F3F3"/>
          </w:tcPr>
          <w:p>
            <w:pPr>
              <w:jc w:val="center"/>
              <w:ind w:left="17"/>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BFBFBF"/>
            </w:tcBorders>
            <w:shd w:val="clear" w:color="auto" w:fill="F3F3F3"/>
          </w:tcPr>
          <w:p>
            <w:pPr>
              <w:jc w:val="center"/>
              <w:ind w:left="2"/>
              <w:spacing w:after="0"/>
              <w:rPr>
                <w:sz w:val="20"/>
                <w:szCs w:val="20"/>
                <w:color w:val="auto"/>
              </w:rPr>
            </w:pPr>
            <w:r>
              <w:rPr>
                <w:rFonts w:ascii="Arial" w:cs="Arial" w:eastAsia="Arial" w:hAnsi="Arial"/>
                <w:sz w:val="16"/>
                <w:szCs w:val="16"/>
                <w:color w:val="auto"/>
                <w:w w:val="89"/>
              </w:rPr>
              <w:t>3,127</w:t>
            </w:r>
          </w:p>
        </w:tc>
        <w:tc>
          <w:tcPr>
            <w:tcW w:w="1360" w:type="dxa"/>
            <w:vAlign w:val="bottom"/>
            <w:tcBorders>
              <w:bottom w:val="single" w:sz="8" w:color="BFBFBF"/>
            </w:tcBorders>
            <w:shd w:val="clear" w:color="auto" w:fill="F3F3F3"/>
          </w:tcPr>
          <w:p>
            <w:pPr>
              <w:ind w:left="500"/>
              <w:spacing w:after="0"/>
              <w:rPr>
                <w:sz w:val="20"/>
                <w:szCs w:val="20"/>
                <w:color w:val="auto"/>
              </w:rPr>
            </w:pPr>
            <w:r>
              <w:rPr>
                <w:rFonts w:ascii="Arial" w:cs="Arial" w:eastAsia="Arial" w:hAnsi="Arial"/>
                <w:sz w:val="16"/>
                <w:szCs w:val="16"/>
                <w:color w:val="auto"/>
              </w:rPr>
              <w:t>35,275</w:t>
            </w:r>
          </w:p>
        </w:tc>
        <w:tc>
          <w:tcPr>
            <w:tcW w:w="860" w:type="dxa"/>
            <w:vAlign w:val="bottom"/>
            <w:tcBorders>
              <w:bottom w:val="single" w:sz="8" w:color="BFBFBF"/>
            </w:tcBorders>
            <w:shd w:val="clear" w:color="auto" w:fill="F3F3F3"/>
          </w:tcPr>
          <w:p>
            <w:pPr>
              <w:jc w:val="center"/>
              <w:ind w:left="302"/>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BFBFBF"/>
            </w:tcBorders>
            <w:shd w:val="clear" w:color="auto" w:fill="F3F3F3"/>
          </w:tcPr>
          <w:p>
            <w:pPr>
              <w:jc w:val="center"/>
              <w:ind w:left="360"/>
              <w:spacing w:after="0"/>
              <w:rPr>
                <w:sz w:val="20"/>
                <w:szCs w:val="20"/>
                <w:color w:val="auto"/>
              </w:rPr>
            </w:pPr>
            <w:r>
              <w:rPr>
                <w:rFonts w:ascii="Arial" w:cs="Arial" w:eastAsia="Arial" w:hAnsi="Arial"/>
                <w:sz w:val="16"/>
                <w:szCs w:val="16"/>
                <w:color w:val="auto"/>
                <w:w w:val="89"/>
              </w:rPr>
              <w:t>49,402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1620" w:type="dxa"/>
            <w:vAlign w:val="bottom"/>
            <w:tcBorders>
              <w:bottom w:val="single" w:sz="8" w:color="BFBFBF"/>
            </w:tcBorders>
          </w:tcPr>
          <w:p>
            <w:pPr>
              <w:jc w:val="center"/>
              <w:ind w:left="542"/>
              <w:spacing w:after="0"/>
              <w:rPr>
                <w:sz w:val="20"/>
                <w:szCs w:val="20"/>
                <w:color w:val="auto"/>
              </w:rPr>
            </w:pPr>
            <w:r>
              <w:rPr>
                <w:rFonts w:ascii="Arial" w:cs="Arial" w:eastAsia="Arial" w:hAnsi="Arial"/>
                <w:sz w:val="16"/>
                <w:szCs w:val="16"/>
                <w:color w:val="auto"/>
                <w:w w:val="89"/>
              </w:rPr>
              <w:t>9,160</w:t>
            </w:r>
          </w:p>
        </w:tc>
        <w:tc>
          <w:tcPr>
            <w:tcW w:w="1380" w:type="dxa"/>
            <w:vAlign w:val="bottom"/>
            <w:tcBorders>
              <w:bottom w:val="single" w:sz="8" w:color="BFBFBF"/>
            </w:tcBorders>
          </w:tcPr>
          <w:p>
            <w:pPr>
              <w:jc w:val="center"/>
              <w:ind w:left="17"/>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BFBFBF"/>
            </w:tcBorders>
          </w:tcPr>
          <w:p>
            <w:pPr>
              <w:jc w:val="center"/>
              <w:ind w:left="2"/>
              <w:spacing w:after="0"/>
              <w:rPr>
                <w:sz w:val="20"/>
                <w:szCs w:val="20"/>
                <w:color w:val="auto"/>
              </w:rPr>
            </w:pPr>
            <w:r>
              <w:rPr>
                <w:rFonts w:ascii="Arial" w:cs="Arial" w:eastAsia="Arial" w:hAnsi="Arial"/>
                <w:sz w:val="16"/>
                <w:szCs w:val="16"/>
                <w:color w:val="auto"/>
                <w:w w:val="89"/>
              </w:rPr>
              <w:t>7,331</w:t>
            </w:r>
          </w:p>
        </w:tc>
        <w:tc>
          <w:tcPr>
            <w:tcW w:w="1360" w:type="dxa"/>
            <w:vAlign w:val="bottom"/>
            <w:tcBorders>
              <w:bottom w:val="single" w:sz="8" w:color="BFBFBF"/>
            </w:tcBorders>
          </w:tcPr>
          <w:p>
            <w:pPr>
              <w:ind w:left="500"/>
              <w:spacing w:after="0"/>
              <w:rPr>
                <w:sz w:val="20"/>
                <w:szCs w:val="20"/>
                <w:color w:val="auto"/>
              </w:rPr>
            </w:pPr>
            <w:r>
              <w:rPr>
                <w:rFonts w:ascii="Arial" w:cs="Arial" w:eastAsia="Arial" w:hAnsi="Arial"/>
                <w:sz w:val="16"/>
                <w:szCs w:val="16"/>
                <w:color w:val="auto"/>
              </w:rPr>
              <w:t>38,560</w:t>
            </w:r>
          </w:p>
        </w:tc>
        <w:tc>
          <w:tcPr>
            <w:tcW w:w="860" w:type="dxa"/>
            <w:vAlign w:val="bottom"/>
            <w:tcBorders>
              <w:bottom w:val="single" w:sz="8" w:color="BFBFBF"/>
            </w:tcBorders>
          </w:tcPr>
          <w:p>
            <w:pPr>
              <w:jc w:val="center"/>
              <w:ind w:left="302"/>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BFBFBF"/>
            </w:tcBorders>
          </w:tcPr>
          <w:p>
            <w:pPr>
              <w:jc w:val="center"/>
              <w:ind w:left="360"/>
              <w:spacing w:after="0"/>
              <w:rPr>
                <w:sz w:val="20"/>
                <w:szCs w:val="20"/>
                <w:color w:val="auto"/>
              </w:rPr>
            </w:pPr>
            <w:r>
              <w:rPr>
                <w:rFonts w:ascii="Arial" w:cs="Arial" w:eastAsia="Arial" w:hAnsi="Arial"/>
                <w:sz w:val="16"/>
                <w:szCs w:val="16"/>
                <w:color w:val="auto"/>
                <w:w w:val="89"/>
              </w:rPr>
              <w:t>55,051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1620" w:type="dxa"/>
            <w:vAlign w:val="bottom"/>
            <w:tcBorders>
              <w:bottom w:val="single" w:sz="8" w:color="BFBFBF"/>
            </w:tcBorders>
            <w:shd w:val="clear" w:color="auto" w:fill="F3F3F3"/>
          </w:tcPr>
          <w:p>
            <w:pPr>
              <w:jc w:val="center"/>
              <w:ind w:left="542"/>
              <w:spacing w:after="0"/>
              <w:rPr>
                <w:sz w:val="20"/>
                <w:szCs w:val="20"/>
                <w:color w:val="auto"/>
              </w:rPr>
            </w:pPr>
            <w:r>
              <w:rPr>
                <w:rFonts w:ascii="Arial" w:cs="Arial" w:eastAsia="Arial" w:hAnsi="Arial"/>
                <w:sz w:val="16"/>
                <w:szCs w:val="16"/>
                <w:color w:val="auto"/>
                <w:w w:val="89"/>
              </w:rPr>
              <w:t>11,000</w:t>
            </w:r>
          </w:p>
        </w:tc>
        <w:tc>
          <w:tcPr>
            <w:tcW w:w="1380" w:type="dxa"/>
            <w:vAlign w:val="bottom"/>
            <w:tcBorders>
              <w:bottom w:val="single" w:sz="8" w:color="BFBFBF"/>
            </w:tcBorders>
            <w:shd w:val="clear" w:color="auto" w:fill="F3F3F3"/>
          </w:tcPr>
          <w:p>
            <w:pPr>
              <w:jc w:val="center"/>
              <w:ind w:left="17"/>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BFBFBF"/>
            </w:tcBorders>
            <w:shd w:val="clear" w:color="auto" w:fill="F3F3F3"/>
          </w:tcPr>
          <w:p>
            <w:pPr>
              <w:jc w:val="center"/>
              <w:ind w:left="2"/>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BFBFBF"/>
            </w:tcBorders>
            <w:shd w:val="clear" w:color="auto" w:fill="F3F3F3"/>
          </w:tcPr>
          <w:p>
            <w:pPr>
              <w:ind w:left="500"/>
              <w:spacing w:after="0"/>
              <w:rPr>
                <w:sz w:val="20"/>
                <w:szCs w:val="20"/>
                <w:color w:val="auto"/>
              </w:rPr>
            </w:pPr>
            <w:r>
              <w:rPr>
                <w:rFonts w:ascii="Arial" w:cs="Arial" w:eastAsia="Arial" w:hAnsi="Arial"/>
                <w:sz w:val="16"/>
                <w:szCs w:val="16"/>
                <w:color w:val="auto"/>
              </w:rPr>
              <w:t>28,874</w:t>
            </w:r>
          </w:p>
        </w:tc>
        <w:tc>
          <w:tcPr>
            <w:tcW w:w="860" w:type="dxa"/>
            <w:vAlign w:val="bottom"/>
            <w:tcBorders>
              <w:bottom w:val="single" w:sz="8" w:color="BFBFBF"/>
            </w:tcBorders>
            <w:shd w:val="clear" w:color="auto" w:fill="F3F3F3"/>
          </w:tcPr>
          <w:p>
            <w:pPr>
              <w:jc w:val="center"/>
              <w:ind w:left="302"/>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BFBFBF"/>
            </w:tcBorders>
            <w:shd w:val="clear" w:color="auto" w:fill="F3F3F3"/>
          </w:tcPr>
          <w:p>
            <w:pPr>
              <w:jc w:val="center"/>
              <w:ind w:left="360"/>
              <w:spacing w:after="0"/>
              <w:rPr>
                <w:sz w:val="20"/>
                <w:szCs w:val="20"/>
                <w:color w:val="auto"/>
              </w:rPr>
            </w:pPr>
            <w:r>
              <w:rPr>
                <w:rFonts w:ascii="Arial" w:cs="Arial" w:eastAsia="Arial" w:hAnsi="Arial"/>
                <w:sz w:val="16"/>
                <w:szCs w:val="16"/>
                <w:color w:val="auto"/>
                <w:w w:val="89"/>
              </w:rPr>
              <w:t>39,874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1620" w:type="dxa"/>
            <w:vAlign w:val="bottom"/>
            <w:tcBorders>
              <w:bottom w:val="single" w:sz="8" w:color="BFBFBF"/>
            </w:tcBorders>
          </w:tcPr>
          <w:p>
            <w:pPr>
              <w:jc w:val="center"/>
              <w:ind w:left="542"/>
              <w:spacing w:after="0"/>
              <w:rPr>
                <w:sz w:val="20"/>
                <w:szCs w:val="20"/>
                <w:color w:val="auto"/>
              </w:rPr>
            </w:pPr>
            <w:r>
              <w:rPr>
                <w:rFonts w:ascii="Arial" w:cs="Arial" w:eastAsia="Arial" w:hAnsi="Arial"/>
                <w:sz w:val="16"/>
                <w:szCs w:val="16"/>
                <w:color w:val="auto"/>
                <w:w w:val="89"/>
              </w:rPr>
              <w:t>11,000</w:t>
            </w:r>
          </w:p>
        </w:tc>
        <w:tc>
          <w:tcPr>
            <w:tcW w:w="1380" w:type="dxa"/>
            <w:vAlign w:val="bottom"/>
            <w:tcBorders>
              <w:bottom w:val="single" w:sz="8" w:color="BFBFBF"/>
            </w:tcBorders>
          </w:tcPr>
          <w:p>
            <w:pPr>
              <w:jc w:val="center"/>
              <w:ind w:left="17"/>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BFBFBF"/>
            </w:tcBorders>
          </w:tcPr>
          <w:p>
            <w:pPr>
              <w:jc w:val="center"/>
              <w:ind w:left="2"/>
              <w:spacing w:after="0"/>
              <w:rPr>
                <w:sz w:val="20"/>
                <w:szCs w:val="20"/>
                <w:color w:val="auto"/>
              </w:rPr>
            </w:pPr>
            <w:r>
              <w:rPr>
                <w:rFonts w:ascii="Arial" w:cs="Arial" w:eastAsia="Arial" w:hAnsi="Arial"/>
                <w:sz w:val="16"/>
                <w:szCs w:val="16"/>
                <w:color w:val="auto"/>
                <w:w w:val="89"/>
              </w:rPr>
              <w:t>2,399</w:t>
            </w:r>
          </w:p>
        </w:tc>
        <w:tc>
          <w:tcPr>
            <w:tcW w:w="1360" w:type="dxa"/>
            <w:vAlign w:val="bottom"/>
            <w:tcBorders>
              <w:bottom w:val="single" w:sz="8" w:color="BFBFBF"/>
            </w:tcBorders>
          </w:tcPr>
          <w:p>
            <w:pPr>
              <w:ind w:left="500"/>
              <w:spacing w:after="0"/>
              <w:rPr>
                <w:sz w:val="20"/>
                <w:szCs w:val="20"/>
                <w:color w:val="auto"/>
              </w:rPr>
            </w:pPr>
            <w:r>
              <w:rPr>
                <w:rFonts w:ascii="Arial" w:cs="Arial" w:eastAsia="Arial" w:hAnsi="Arial"/>
                <w:sz w:val="16"/>
                <w:szCs w:val="16"/>
                <w:color w:val="auto"/>
              </w:rPr>
              <w:t>18,859</w:t>
            </w:r>
          </w:p>
        </w:tc>
        <w:tc>
          <w:tcPr>
            <w:tcW w:w="860" w:type="dxa"/>
            <w:vAlign w:val="bottom"/>
            <w:tcBorders>
              <w:bottom w:val="single" w:sz="8" w:color="BFBFBF"/>
            </w:tcBorders>
          </w:tcPr>
          <w:p>
            <w:pPr>
              <w:jc w:val="center"/>
              <w:ind w:left="302"/>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BFBFBF"/>
            </w:tcBorders>
          </w:tcPr>
          <w:p>
            <w:pPr>
              <w:jc w:val="center"/>
              <w:ind w:left="360"/>
              <w:spacing w:after="0"/>
              <w:rPr>
                <w:sz w:val="20"/>
                <w:szCs w:val="20"/>
                <w:color w:val="auto"/>
              </w:rPr>
            </w:pPr>
            <w:r>
              <w:rPr>
                <w:rFonts w:ascii="Arial" w:cs="Arial" w:eastAsia="Arial" w:hAnsi="Arial"/>
                <w:sz w:val="16"/>
                <w:szCs w:val="16"/>
                <w:color w:val="auto"/>
                <w:w w:val="89"/>
              </w:rPr>
              <w:t>32,258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00" w:type="dxa"/>
            <w:vAlign w:val="bottom"/>
            <w:tcBorders>
              <w:bottom w:val="single" w:sz="8" w:color="0033A0"/>
            </w:tcBorders>
          </w:tcPr>
          <w:p>
            <w:pPr>
              <w:spacing w:after="0"/>
              <w:rPr>
                <w:sz w:val="24"/>
                <w:szCs w:val="24"/>
                <w:color w:val="auto"/>
              </w:rPr>
            </w:pPr>
          </w:p>
        </w:tc>
        <w:tc>
          <w:tcPr>
            <w:tcW w:w="1620" w:type="dxa"/>
            <w:vAlign w:val="bottom"/>
            <w:tcBorders>
              <w:bottom w:val="single" w:sz="8" w:color="0033A0"/>
            </w:tcBorders>
          </w:tcPr>
          <w:p>
            <w:pPr>
              <w:spacing w:after="0"/>
              <w:rPr>
                <w:sz w:val="24"/>
                <w:szCs w:val="24"/>
                <w:color w:val="auto"/>
              </w:rPr>
            </w:pPr>
          </w:p>
        </w:tc>
        <w:tc>
          <w:tcPr>
            <w:tcW w:w="1380" w:type="dxa"/>
            <w:vAlign w:val="bottom"/>
            <w:tcBorders>
              <w:bottom w:val="single" w:sz="8" w:color="0033A0"/>
            </w:tcBorders>
          </w:tcPr>
          <w:p>
            <w:pPr>
              <w:spacing w:after="0"/>
              <w:rPr>
                <w:sz w:val="24"/>
                <w:szCs w:val="24"/>
                <w:color w:val="auto"/>
              </w:rPr>
            </w:pPr>
          </w:p>
        </w:tc>
        <w:tc>
          <w:tcPr>
            <w:tcW w:w="1120" w:type="dxa"/>
            <w:vAlign w:val="bottom"/>
            <w:tcBorders>
              <w:bottom w:val="single" w:sz="8" w:color="0033A0"/>
            </w:tcBorders>
          </w:tcPr>
          <w:p>
            <w:pPr>
              <w:spacing w:after="0"/>
              <w:rPr>
                <w:sz w:val="24"/>
                <w:szCs w:val="24"/>
                <w:color w:val="auto"/>
              </w:rPr>
            </w:pPr>
          </w:p>
        </w:tc>
        <w:tc>
          <w:tcPr>
            <w:tcW w:w="1360" w:type="dxa"/>
            <w:vAlign w:val="bottom"/>
            <w:tcBorders>
              <w:bottom w:val="single" w:sz="8" w:color="0033A0"/>
            </w:tcBorders>
          </w:tcPr>
          <w:p>
            <w:pPr>
              <w:spacing w:after="0"/>
              <w:rPr>
                <w:sz w:val="24"/>
                <w:szCs w:val="24"/>
                <w:color w:val="auto"/>
              </w:rPr>
            </w:pPr>
          </w:p>
        </w:tc>
        <w:tc>
          <w:tcPr>
            <w:tcW w:w="860" w:type="dxa"/>
            <w:vAlign w:val="bottom"/>
            <w:tcBorders>
              <w:bottom w:val="single" w:sz="8" w:color="0033A0"/>
            </w:tcBorders>
          </w:tcPr>
          <w:p>
            <w:pPr>
              <w:spacing w:after="0"/>
              <w:rPr>
                <w:sz w:val="24"/>
                <w:szCs w:val="24"/>
                <w:color w:val="auto"/>
              </w:rPr>
            </w:pPr>
          </w:p>
        </w:tc>
        <w:tc>
          <w:tcPr>
            <w:tcW w:w="1600" w:type="dxa"/>
            <w:vAlign w:val="bottom"/>
            <w:tcBorders>
              <w:bottom w:val="single" w:sz="8" w:color="0033A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300" w:type="dxa"/>
            <w:vAlign w:val="bottom"/>
          </w:tcPr>
          <w:p>
            <w:pPr>
              <w:ind w:left="500"/>
              <w:spacing w:after="0"/>
              <w:rPr>
                <w:sz w:val="20"/>
                <w:szCs w:val="20"/>
                <w:color w:val="auto"/>
              </w:rPr>
            </w:pPr>
            <w:r>
              <w:rPr>
                <w:rFonts w:ascii="Arial" w:cs="Arial" w:eastAsia="Arial" w:hAnsi="Arial"/>
                <w:sz w:val="18"/>
                <w:szCs w:val="18"/>
                <w:color w:val="auto"/>
              </w:rPr>
              <w:t>The E.W. Scripps Company</w:t>
            </w:r>
          </w:p>
        </w:tc>
        <w:tc>
          <w:tcPr>
            <w:tcW w:w="1620" w:type="dxa"/>
            <w:vAlign w:val="bottom"/>
          </w:tcPr>
          <w:p>
            <w:pPr>
              <w:spacing w:after="0"/>
              <w:rPr>
                <w:sz w:val="24"/>
                <w:szCs w:val="24"/>
                <w:color w:val="auto"/>
              </w:rPr>
            </w:pPr>
          </w:p>
        </w:tc>
        <w:tc>
          <w:tcPr>
            <w:tcW w:w="1380" w:type="dxa"/>
            <w:vAlign w:val="bottom"/>
          </w:tcPr>
          <w:p>
            <w:pPr>
              <w:jc w:val="right"/>
              <w:ind w:right="277"/>
              <w:spacing w:after="0"/>
              <w:rPr>
                <w:sz w:val="20"/>
                <w:szCs w:val="20"/>
                <w:color w:val="auto"/>
              </w:rPr>
            </w:pPr>
            <w:r>
              <w:rPr>
                <w:rFonts w:ascii="Arial" w:cs="Arial" w:eastAsia="Arial" w:hAnsi="Arial"/>
                <w:sz w:val="25"/>
                <w:szCs w:val="25"/>
                <w:b w:val="1"/>
                <w:bCs w:val="1"/>
                <w:color w:val="0033A0"/>
              </w:rPr>
              <w:t>43</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w w:val="89"/>
              </w:rPr>
              <w:t>2020 Proxy Statement</w:t>
            </w:r>
          </w:p>
        </w:tc>
        <w:tc>
          <w:tcPr>
            <w:tcW w:w="0" w:type="dxa"/>
            <w:vAlign w:val="bottom"/>
          </w:tcPr>
          <w:p>
            <w:pPr>
              <w:spacing w:after="0"/>
              <w:rPr>
                <w:sz w:val="1"/>
                <w:szCs w:val="1"/>
                <w:color w:val="auto"/>
              </w:rPr>
            </w:pPr>
          </w:p>
        </w:tc>
      </w:tr>
      <w:tr>
        <w:trPr>
          <w:trHeight w:val="255"/>
        </w:trPr>
        <w:tc>
          <w:tcPr>
            <w:tcW w:w="3300" w:type="dxa"/>
            <w:vAlign w:val="bottom"/>
            <w:tcBorders>
              <w:bottom w:val="single" w:sz="8" w:color="9A9A9A"/>
            </w:tcBorders>
          </w:tcPr>
          <w:p>
            <w:pPr>
              <w:spacing w:after="0"/>
              <w:rPr>
                <w:sz w:val="22"/>
                <w:szCs w:val="22"/>
                <w:color w:val="auto"/>
              </w:rPr>
            </w:pPr>
          </w:p>
        </w:tc>
        <w:tc>
          <w:tcPr>
            <w:tcW w:w="162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16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20574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3" w:name="page44"/>
    <w:bookmarkEnd w:id="43"/>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all amounts paid by the Company for financial planning services.</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Scripps Howard Foundation matches on a dollar-for-dollar basis up to $2,500 annually for charitable contributions made by the executives. This program is available to all employees.</w:t>
      </w:r>
    </w:p>
    <w:p>
      <w:pPr>
        <w:spacing w:after="0" w:line="107" w:lineRule="exact"/>
        <w:rPr>
          <w:rFonts w:ascii="Arial" w:cs="Arial" w:eastAsia="Arial" w:hAnsi="Arial"/>
          <w:sz w:val="13"/>
          <w:szCs w:val="13"/>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cost of the senior executive physical, if any, that is in excess of the cost of a physical covered under the Company’s general health plan.</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amount of all matching contributions made under the Company’s 401(k) plan and Executive Deferred Compensation Plan.</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amount for use of a private aircraft for limited personal travel due to the COVID-19 pandemic as permitted under the Corporate Aviation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Grants of Plan-Based Awards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for each named executive officer regarding short-term incentive and restricted share unit awards granted during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40" w:type="dxa"/>
            <w:vAlign w:val="bottom"/>
            <w:tcBorders>
              <w:top w:val="single" w:sz="8" w:color="BFBFBF"/>
            </w:tcBorders>
            <w:shd w:val="clear" w:color="auto" w:fill="E7E7E8"/>
          </w:tcPr>
          <w:p>
            <w:pPr>
              <w:spacing w:after="0"/>
              <w:rPr>
                <w:sz w:val="14"/>
                <w:szCs w:val="14"/>
                <w:color w:val="auto"/>
              </w:rPr>
            </w:pPr>
          </w:p>
        </w:tc>
        <w:tc>
          <w:tcPr>
            <w:tcW w:w="1440" w:type="dxa"/>
            <w:vAlign w:val="bottom"/>
            <w:tcBorders>
              <w:top w:val="single" w:sz="8" w:color="BFBFBF"/>
            </w:tcBorders>
            <w:shd w:val="clear" w:color="auto" w:fill="E7E7E8"/>
          </w:tcPr>
          <w:p>
            <w:pPr>
              <w:spacing w:after="0"/>
              <w:rPr>
                <w:sz w:val="14"/>
                <w:szCs w:val="14"/>
                <w:color w:val="auto"/>
              </w:rPr>
            </w:pPr>
          </w:p>
        </w:tc>
        <w:tc>
          <w:tcPr>
            <w:tcW w:w="960" w:type="dxa"/>
            <w:vAlign w:val="bottom"/>
            <w:tcBorders>
              <w:top w:val="single" w:sz="8" w:color="BFBFBF"/>
            </w:tcBorders>
            <w:shd w:val="clear" w:color="auto" w:fill="E7E7E8"/>
          </w:tcPr>
          <w:p>
            <w:pPr>
              <w:spacing w:after="0"/>
              <w:rPr>
                <w:sz w:val="14"/>
                <w:szCs w:val="14"/>
                <w:color w:val="auto"/>
              </w:rPr>
            </w:pPr>
          </w:p>
        </w:tc>
        <w:tc>
          <w:tcPr>
            <w:tcW w:w="800" w:type="dxa"/>
            <w:vAlign w:val="bottom"/>
            <w:tcBorders>
              <w:top w:val="single" w:sz="8" w:color="BFBFBF"/>
            </w:tcBorders>
            <w:shd w:val="clear" w:color="auto" w:fill="E7E7E8"/>
          </w:tcPr>
          <w:p>
            <w:pPr>
              <w:spacing w:after="0"/>
              <w:rPr>
                <w:sz w:val="14"/>
                <w:szCs w:val="14"/>
                <w:color w:val="auto"/>
              </w:rPr>
            </w:pPr>
          </w:p>
        </w:tc>
        <w:tc>
          <w:tcPr>
            <w:tcW w:w="1080" w:type="dxa"/>
            <w:vAlign w:val="bottom"/>
            <w:tcBorders>
              <w:top w:val="single" w:sz="8" w:color="BFBFBF"/>
            </w:tcBorders>
            <w:shd w:val="clear" w:color="auto" w:fill="E7E7E8"/>
          </w:tcPr>
          <w:p>
            <w:pPr>
              <w:spacing w:after="0"/>
              <w:rPr>
                <w:sz w:val="14"/>
                <w:szCs w:val="14"/>
                <w:color w:val="auto"/>
              </w:rPr>
            </w:pPr>
          </w:p>
        </w:tc>
        <w:tc>
          <w:tcPr>
            <w:tcW w:w="840" w:type="dxa"/>
            <w:vAlign w:val="bottom"/>
            <w:tcBorders>
              <w:top w:val="single" w:sz="8" w:color="BFBFBF"/>
            </w:tcBorders>
            <w:shd w:val="clear" w:color="auto" w:fill="E7E7E8"/>
          </w:tcPr>
          <w:p>
            <w:pPr>
              <w:spacing w:after="0"/>
              <w:rPr>
                <w:sz w:val="14"/>
                <w:szCs w:val="14"/>
                <w:color w:val="auto"/>
              </w:rPr>
            </w:pPr>
          </w:p>
        </w:tc>
        <w:tc>
          <w:tcPr>
            <w:tcW w:w="800" w:type="dxa"/>
            <w:vAlign w:val="bottom"/>
            <w:tcBorders>
              <w:top w:val="single" w:sz="8" w:color="BFBFBF"/>
            </w:tcBorders>
            <w:shd w:val="clear" w:color="auto" w:fill="E7E7E8"/>
          </w:tcPr>
          <w:p>
            <w:pPr>
              <w:spacing w:after="0"/>
              <w:rPr>
                <w:sz w:val="14"/>
                <w:szCs w:val="14"/>
                <w:color w:val="auto"/>
              </w:rPr>
            </w:pPr>
          </w:p>
        </w:tc>
        <w:tc>
          <w:tcPr>
            <w:tcW w:w="980" w:type="dxa"/>
            <w:vAlign w:val="bottom"/>
            <w:tcBorders>
              <w:top w:val="single" w:sz="8" w:color="BFBFBF"/>
            </w:tcBorders>
            <w:shd w:val="clear" w:color="auto" w:fill="E7E7E8"/>
          </w:tcPr>
          <w:p>
            <w:pPr>
              <w:spacing w:after="0"/>
              <w:rPr>
                <w:sz w:val="14"/>
                <w:szCs w:val="14"/>
                <w:color w:val="auto"/>
              </w:rPr>
            </w:pPr>
          </w:p>
        </w:tc>
        <w:tc>
          <w:tcPr>
            <w:tcW w:w="820" w:type="dxa"/>
            <w:vAlign w:val="bottom"/>
            <w:tcBorders>
              <w:top w:val="single" w:sz="8" w:color="BFBFBF"/>
            </w:tcBorders>
            <w:shd w:val="clear" w:color="auto" w:fill="E7E7E8"/>
          </w:tcPr>
          <w:p>
            <w:pPr>
              <w:spacing w:after="0"/>
              <w:rPr>
                <w:sz w:val="14"/>
                <w:szCs w:val="14"/>
                <w:color w:val="auto"/>
              </w:rPr>
            </w:pPr>
          </w:p>
        </w:tc>
        <w:tc>
          <w:tcPr>
            <w:tcW w:w="1240" w:type="dxa"/>
            <w:vAlign w:val="bottom"/>
            <w:tcBorders>
              <w:top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8"/>
              </w:rPr>
              <w:t>All Other</w:t>
            </w:r>
          </w:p>
        </w:tc>
        <w:tc>
          <w:tcPr>
            <w:tcW w:w="1040" w:type="dxa"/>
            <w:vAlign w:val="bottom"/>
            <w:tcBorders>
              <w:top w:val="single" w:sz="8" w:color="BFBFBF"/>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0033A0"/>
                <w:w w:val="96"/>
              </w:rPr>
              <w:t>Grant</w:t>
            </w:r>
          </w:p>
        </w:tc>
        <w:tc>
          <w:tcPr>
            <w:tcW w:w="0" w:type="dxa"/>
            <w:vAlign w:val="bottom"/>
          </w:tcPr>
          <w:p>
            <w:pPr>
              <w:spacing w:after="0"/>
              <w:rPr>
                <w:sz w:val="1"/>
                <w:szCs w:val="1"/>
                <w:color w:val="auto"/>
              </w:rPr>
            </w:pPr>
          </w:p>
        </w:tc>
      </w:tr>
      <w:tr>
        <w:trPr>
          <w:trHeight w:val="148"/>
        </w:trPr>
        <w:tc>
          <w:tcPr>
            <w:tcW w:w="1240" w:type="dxa"/>
            <w:vAlign w:val="bottom"/>
            <w:shd w:val="clear" w:color="auto" w:fill="E7E7E8"/>
          </w:tcPr>
          <w:p>
            <w:pPr>
              <w:spacing w:after="0"/>
              <w:rPr>
                <w:sz w:val="12"/>
                <w:szCs w:val="12"/>
                <w:color w:val="auto"/>
              </w:rPr>
            </w:pPr>
          </w:p>
        </w:tc>
        <w:tc>
          <w:tcPr>
            <w:tcW w:w="144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2720" w:type="dxa"/>
            <w:vAlign w:val="bottom"/>
            <w:gridSpan w:val="3"/>
            <w:vMerge w:val="restart"/>
            <w:shd w:val="clear" w:color="auto" w:fill="E7E7E8"/>
          </w:tcPr>
          <w:p>
            <w:pPr>
              <w:jc w:val="center"/>
              <w:spacing w:after="0"/>
              <w:rPr>
                <w:sz w:val="20"/>
                <w:szCs w:val="20"/>
                <w:color w:val="auto"/>
              </w:rPr>
            </w:pPr>
            <w:r>
              <w:rPr>
                <w:rFonts w:ascii="Arial" w:cs="Arial" w:eastAsia="Arial" w:hAnsi="Arial"/>
                <w:sz w:val="14"/>
                <w:szCs w:val="14"/>
                <w:b w:val="1"/>
                <w:bCs w:val="1"/>
                <w:color w:val="0033A0"/>
                <w:w w:val="89"/>
              </w:rPr>
              <w:t>Estimated Possible Payouts</w:t>
            </w:r>
          </w:p>
        </w:tc>
        <w:tc>
          <w:tcPr>
            <w:tcW w:w="2600" w:type="dxa"/>
            <w:vAlign w:val="bottom"/>
            <w:gridSpan w:val="3"/>
            <w:vMerge w:val="restart"/>
            <w:shd w:val="clear" w:color="auto" w:fill="E7E7E8"/>
          </w:tcPr>
          <w:p>
            <w:pPr>
              <w:jc w:val="center"/>
              <w:spacing w:after="0"/>
              <w:rPr>
                <w:sz w:val="20"/>
                <w:szCs w:val="20"/>
                <w:color w:val="auto"/>
              </w:rPr>
            </w:pPr>
            <w:r>
              <w:rPr>
                <w:rFonts w:ascii="Arial" w:cs="Arial" w:eastAsia="Arial" w:hAnsi="Arial"/>
                <w:sz w:val="14"/>
                <w:szCs w:val="14"/>
                <w:b w:val="1"/>
                <w:bCs w:val="1"/>
                <w:color w:val="0033A0"/>
                <w:w w:val="89"/>
              </w:rPr>
              <w:t>Estimated Possible Payouts</w:t>
            </w:r>
          </w:p>
        </w:tc>
        <w:tc>
          <w:tcPr>
            <w:tcW w:w="124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2"/>
              </w:rPr>
              <w:t>Stock Awards:</w:t>
            </w:r>
          </w:p>
        </w:tc>
        <w:tc>
          <w:tcPr>
            <w:tcW w:w="1040" w:type="dxa"/>
            <w:vAlign w:val="bottom"/>
            <w:vMerge w:val="continue"/>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E7E7E8"/>
          </w:tcPr>
          <w:p>
            <w:pPr>
              <w:spacing w:after="0"/>
              <w:rPr>
                <w:sz w:val="12"/>
                <w:szCs w:val="12"/>
                <w:color w:val="auto"/>
              </w:rPr>
            </w:pPr>
          </w:p>
        </w:tc>
        <w:tc>
          <w:tcPr>
            <w:tcW w:w="144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2720" w:type="dxa"/>
            <w:vAlign w:val="bottom"/>
            <w:gridSpan w:val="3"/>
            <w:vMerge w:val="continue"/>
            <w:shd w:val="clear" w:color="auto" w:fill="E7E7E8"/>
          </w:tcPr>
          <w:p>
            <w:pPr>
              <w:spacing w:after="0"/>
              <w:rPr>
                <w:sz w:val="12"/>
                <w:szCs w:val="12"/>
                <w:color w:val="auto"/>
              </w:rPr>
            </w:pPr>
          </w:p>
        </w:tc>
        <w:tc>
          <w:tcPr>
            <w:tcW w:w="2600" w:type="dxa"/>
            <w:vAlign w:val="bottom"/>
            <w:gridSpan w:val="3"/>
            <w:vMerge w:val="continue"/>
            <w:shd w:val="clear" w:color="auto" w:fill="E7E7E8"/>
          </w:tcPr>
          <w:p>
            <w:pPr>
              <w:spacing w:after="0"/>
              <w:rPr>
                <w:sz w:val="12"/>
                <w:szCs w:val="12"/>
                <w:color w:val="auto"/>
              </w:rPr>
            </w:pPr>
          </w:p>
        </w:tc>
        <w:tc>
          <w:tcPr>
            <w:tcW w:w="124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4"/>
              </w:rPr>
              <w:t>Number of</w:t>
            </w:r>
          </w:p>
        </w:tc>
        <w:tc>
          <w:tcPr>
            <w:tcW w:w="104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2"/>
              </w:rPr>
              <w:t>Date</w:t>
            </w:r>
          </w:p>
        </w:tc>
        <w:tc>
          <w:tcPr>
            <w:tcW w:w="0" w:type="dxa"/>
            <w:vAlign w:val="bottom"/>
          </w:tcPr>
          <w:p>
            <w:pPr>
              <w:spacing w:after="0"/>
              <w:rPr>
                <w:sz w:val="1"/>
                <w:szCs w:val="1"/>
                <w:color w:val="auto"/>
              </w:rPr>
            </w:pPr>
          </w:p>
        </w:tc>
      </w:tr>
      <w:tr>
        <w:trPr>
          <w:trHeight w:val="148"/>
        </w:trPr>
        <w:tc>
          <w:tcPr>
            <w:tcW w:w="1240" w:type="dxa"/>
            <w:vAlign w:val="bottom"/>
            <w:shd w:val="clear" w:color="auto" w:fill="E7E7E8"/>
          </w:tcPr>
          <w:p>
            <w:pPr>
              <w:spacing w:after="0"/>
              <w:rPr>
                <w:sz w:val="12"/>
                <w:szCs w:val="12"/>
                <w:color w:val="auto"/>
              </w:rPr>
            </w:pPr>
          </w:p>
        </w:tc>
        <w:tc>
          <w:tcPr>
            <w:tcW w:w="144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2720" w:type="dxa"/>
            <w:vAlign w:val="bottom"/>
            <w:gridSpan w:val="3"/>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5"/>
              </w:rPr>
              <w:t>Under Non-Equity Incentive</w:t>
            </w:r>
          </w:p>
        </w:tc>
        <w:tc>
          <w:tcPr>
            <w:tcW w:w="2600" w:type="dxa"/>
            <w:vAlign w:val="bottom"/>
            <w:gridSpan w:val="3"/>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6"/>
              </w:rPr>
              <w:t>Under Equity Incentive</w:t>
            </w:r>
          </w:p>
        </w:tc>
        <w:tc>
          <w:tcPr>
            <w:tcW w:w="124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0"/>
              </w:rPr>
              <w:t>Shares of</w:t>
            </w:r>
          </w:p>
        </w:tc>
        <w:tc>
          <w:tcPr>
            <w:tcW w:w="104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5"/>
              </w:rPr>
              <w:t>Fair Value</w:t>
            </w:r>
          </w:p>
        </w:tc>
        <w:tc>
          <w:tcPr>
            <w:tcW w:w="0" w:type="dxa"/>
            <w:vAlign w:val="bottom"/>
          </w:tcPr>
          <w:p>
            <w:pPr>
              <w:spacing w:after="0"/>
              <w:rPr>
                <w:sz w:val="1"/>
                <w:szCs w:val="1"/>
                <w:color w:val="auto"/>
              </w:rPr>
            </w:pPr>
          </w:p>
        </w:tc>
      </w:tr>
      <w:tr>
        <w:trPr>
          <w:trHeight w:val="171"/>
        </w:trPr>
        <w:tc>
          <w:tcPr>
            <w:tcW w:w="1240" w:type="dxa"/>
            <w:vAlign w:val="bottom"/>
            <w:shd w:val="clear" w:color="auto" w:fill="E7E7E8"/>
          </w:tcPr>
          <w:p>
            <w:pPr>
              <w:spacing w:after="0"/>
              <w:rPr>
                <w:sz w:val="14"/>
                <w:szCs w:val="14"/>
                <w:color w:val="auto"/>
              </w:rPr>
            </w:pPr>
          </w:p>
        </w:tc>
        <w:tc>
          <w:tcPr>
            <w:tcW w:w="14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033A0"/>
                <w:w w:val="93"/>
              </w:rPr>
              <w:t>Plan Awards</w:t>
            </w:r>
            <w:r>
              <w:rPr>
                <w:rFonts w:ascii="Arial" w:cs="Arial" w:eastAsia="Arial" w:hAnsi="Arial"/>
                <w:sz w:val="12"/>
                <w:szCs w:val="12"/>
                <w:b w:val="1"/>
                <w:bCs w:val="1"/>
                <w:color w:val="0033A0"/>
                <w:w w:val="93"/>
              </w:rPr>
              <w:t>(1)</w:t>
            </w:r>
          </w:p>
        </w:tc>
        <w:tc>
          <w:tcPr>
            <w:tcW w:w="8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98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033A0"/>
                <w:w w:val="95"/>
              </w:rPr>
              <w:t>Plan Awards</w:t>
            </w:r>
            <w:r>
              <w:rPr>
                <w:rFonts w:ascii="Arial" w:cs="Arial" w:eastAsia="Arial" w:hAnsi="Arial"/>
                <w:sz w:val="12"/>
                <w:szCs w:val="12"/>
                <w:b w:val="1"/>
                <w:bCs w:val="1"/>
                <w:color w:val="0033A0"/>
                <w:w w:val="95"/>
              </w:rPr>
              <w:t>(2)</w:t>
            </w:r>
          </w:p>
        </w:tc>
        <w:tc>
          <w:tcPr>
            <w:tcW w:w="82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033A0"/>
                <w:w w:val="92"/>
              </w:rPr>
              <w:t>Stock or</w:t>
            </w:r>
          </w:p>
        </w:tc>
        <w:tc>
          <w:tcPr>
            <w:tcW w:w="104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033A0"/>
                <w:w w:val="90"/>
              </w:rPr>
              <w:t>of Stock</w:t>
            </w:r>
          </w:p>
        </w:tc>
        <w:tc>
          <w:tcPr>
            <w:tcW w:w="0" w:type="dxa"/>
            <w:vAlign w:val="bottom"/>
          </w:tcPr>
          <w:p>
            <w:pPr>
              <w:spacing w:after="0"/>
              <w:rPr>
                <w:sz w:val="1"/>
                <w:szCs w:val="1"/>
                <w:color w:val="auto"/>
              </w:rPr>
            </w:pPr>
          </w:p>
        </w:tc>
      </w:tr>
      <w:tr>
        <w:trPr>
          <w:trHeight w:val="139"/>
        </w:trPr>
        <w:tc>
          <w:tcPr>
            <w:tcW w:w="124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1440" w:type="dxa"/>
            <w:vAlign w:val="bottom"/>
            <w:vMerge w:val="restart"/>
            <w:shd w:val="clear" w:color="auto" w:fill="E7E7E8"/>
          </w:tcPr>
          <w:p>
            <w:pPr>
              <w:ind w:left="460"/>
              <w:spacing w:after="0"/>
              <w:rPr>
                <w:sz w:val="20"/>
                <w:szCs w:val="20"/>
                <w:color w:val="auto"/>
              </w:rPr>
            </w:pPr>
            <w:r>
              <w:rPr>
                <w:rFonts w:ascii="Arial" w:cs="Arial" w:eastAsia="Arial" w:hAnsi="Arial"/>
                <w:sz w:val="14"/>
                <w:szCs w:val="14"/>
                <w:b w:val="1"/>
                <w:bCs w:val="1"/>
                <w:color w:val="0033A0"/>
              </w:rPr>
              <w:t>Grant Date</w:t>
            </w:r>
          </w:p>
        </w:tc>
        <w:tc>
          <w:tcPr>
            <w:tcW w:w="960" w:type="dxa"/>
            <w:vAlign w:val="bottom"/>
            <w:shd w:val="clear" w:color="auto" w:fill="E7E7E8"/>
          </w:tcPr>
          <w:p>
            <w:pPr>
              <w:jc w:val="center"/>
              <w:ind w:left="108"/>
              <w:spacing w:after="0" w:line="139" w:lineRule="exact"/>
              <w:rPr>
                <w:sz w:val="20"/>
                <w:szCs w:val="20"/>
                <w:color w:val="auto"/>
              </w:rPr>
            </w:pPr>
            <w:r>
              <w:rPr>
                <w:rFonts w:ascii="Arial" w:cs="Arial" w:eastAsia="Arial" w:hAnsi="Arial"/>
                <w:sz w:val="14"/>
                <w:szCs w:val="14"/>
                <w:b w:val="1"/>
                <w:bCs w:val="1"/>
                <w:color w:val="0033A0"/>
                <w:w w:val="95"/>
              </w:rPr>
              <w:t>Approval</w:t>
            </w:r>
          </w:p>
        </w:tc>
        <w:tc>
          <w:tcPr>
            <w:tcW w:w="800" w:type="dxa"/>
            <w:vAlign w:val="bottom"/>
            <w:shd w:val="clear" w:color="auto" w:fill="E7E7E8"/>
          </w:tcPr>
          <w:p>
            <w:pPr>
              <w:jc w:val="center"/>
              <w:spacing w:after="0" w:line="139" w:lineRule="exact"/>
              <w:rPr>
                <w:sz w:val="20"/>
                <w:szCs w:val="20"/>
                <w:color w:val="auto"/>
              </w:rPr>
            </w:pPr>
            <w:r>
              <w:rPr>
                <w:rFonts w:ascii="Arial" w:cs="Arial" w:eastAsia="Arial" w:hAnsi="Arial"/>
                <w:sz w:val="14"/>
                <w:szCs w:val="14"/>
                <w:b w:val="1"/>
                <w:bCs w:val="1"/>
                <w:color w:val="0033A0"/>
                <w:w w:val="91"/>
              </w:rPr>
              <w:t>Threshold</w:t>
            </w:r>
          </w:p>
        </w:tc>
        <w:tc>
          <w:tcPr>
            <w:tcW w:w="1080" w:type="dxa"/>
            <w:vAlign w:val="bottom"/>
            <w:shd w:val="clear" w:color="auto" w:fill="E7E7E8"/>
          </w:tcPr>
          <w:p>
            <w:pPr>
              <w:jc w:val="center"/>
              <w:spacing w:after="0" w:line="139" w:lineRule="exact"/>
              <w:rPr>
                <w:sz w:val="20"/>
                <w:szCs w:val="20"/>
                <w:color w:val="auto"/>
              </w:rPr>
            </w:pPr>
            <w:r>
              <w:rPr>
                <w:rFonts w:ascii="Arial" w:cs="Arial" w:eastAsia="Arial" w:hAnsi="Arial"/>
                <w:sz w:val="14"/>
                <w:szCs w:val="14"/>
                <w:b w:val="1"/>
                <w:bCs w:val="1"/>
                <w:color w:val="0033A0"/>
                <w:w w:val="93"/>
              </w:rPr>
              <w:t>Target</w:t>
            </w:r>
          </w:p>
        </w:tc>
        <w:tc>
          <w:tcPr>
            <w:tcW w:w="840" w:type="dxa"/>
            <w:vAlign w:val="bottom"/>
            <w:shd w:val="clear" w:color="auto" w:fill="E7E7E8"/>
          </w:tcPr>
          <w:p>
            <w:pPr>
              <w:jc w:val="center"/>
              <w:ind w:right="8"/>
              <w:spacing w:after="0" w:line="139" w:lineRule="exact"/>
              <w:rPr>
                <w:sz w:val="20"/>
                <w:szCs w:val="20"/>
                <w:color w:val="auto"/>
              </w:rPr>
            </w:pPr>
            <w:r>
              <w:rPr>
                <w:rFonts w:ascii="Arial" w:cs="Arial" w:eastAsia="Arial" w:hAnsi="Arial"/>
                <w:sz w:val="14"/>
                <w:szCs w:val="14"/>
                <w:b w:val="1"/>
                <w:bCs w:val="1"/>
                <w:color w:val="0033A0"/>
                <w:w w:val="99"/>
              </w:rPr>
              <w:t>Maximum</w:t>
            </w:r>
          </w:p>
        </w:tc>
        <w:tc>
          <w:tcPr>
            <w:tcW w:w="800" w:type="dxa"/>
            <w:vAlign w:val="bottom"/>
            <w:shd w:val="clear" w:color="auto" w:fill="E7E7E8"/>
          </w:tcPr>
          <w:p>
            <w:pPr>
              <w:jc w:val="center"/>
              <w:ind w:left="8"/>
              <w:spacing w:after="0" w:line="139" w:lineRule="exact"/>
              <w:rPr>
                <w:sz w:val="20"/>
                <w:szCs w:val="20"/>
                <w:color w:val="auto"/>
              </w:rPr>
            </w:pPr>
            <w:r>
              <w:rPr>
                <w:rFonts w:ascii="Arial" w:cs="Arial" w:eastAsia="Arial" w:hAnsi="Arial"/>
                <w:sz w:val="14"/>
                <w:szCs w:val="14"/>
                <w:b w:val="1"/>
                <w:bCs w:val="1"/>
                <w:color w:val="0033A0"/>
                <w:w w:val="94"/>
              </w:rPr>
              <w:t>Threshold</w:t>
            </w:r>
          </w:p>
        </w:tc>
        <w:tc>
          <w:tcPr>
            <w:tcW w:w="980" w:type="dxa"/>
            <w:vAlign w:val="bottom"/>
            <w:shd w:val="clear" w:color="auto" w:fill="E7E7E8"/>
          </w:tcPr>
          <w:p>
            <w:pPr>
              <w:jc w:val="center"/>
              <w:spacing w:after="0" w:line="139" w:lineRule="exact"/>
              <w:rPr>
                <w:sz w:val="20"/>
                <w:szCs w:val="20"/>
                <w:color w:val="auto"/>
              </w:rPr>
            </w:pPr>
            <w:r>
              <w:rPr>
                <w:rFonts w:ascii="Arial" w:cs="Arial" w:eastAsia="Arial" w:hAnsi="Arial"/>
                <w:sz w:val="14"/>
                <w:szCs w:val="14"/>
                <w:b w:val="1"/>
                <w:bCs w:val="1"/>
                <w:color w:val="0033A0"/>
                <w:w w:val="93"/>
              </w:rPr>
              <w:t>Target</w:t>
            </w:r>
          </w:p>
        </w:tc>
        <w:tc>
          <w:tcPr>
            <w:tcW w:w="820" w:type="dxa"/>
            <w:vAlign w:val="bottom"/>
            <w:shd w:val="clear" w:color="auto" w:fill="E7E7E8"/>
          </w:tcPr>
          <w:p>
            <w:pPr>
              <w:jc w:val="center"/>
              <w:ind w:right="68"/>
              <w:spacing w:after="0" w:line="139" w:lineRule="exact"/>
              <w:rPr>
                <w:sz w:val="20"/>
                <w:szCs w:val="20"/>
                <w:color w:val="auto"/>
              </w:rPr>
            </w:pPr>
            <w:r>
              <w:rPr>
                <w:rFonts w:ascii="Arial" w:cs="Arial" w:eastAsia="Arial" w:hAnsi="Arial"/>
                <w:sz w:val="14"/>
                <w:szCs w:val="14"/>
                <w:b w:val="1"/>
                <w:bCs w:val="1"/>
                <w:color w:val="0033A0"/>
                <w:w w:val="99"/>
              </w:rPr>
              <w:t>Maximum</w:t>
            </w:r>
          </w:p>
        </w:tc>
        <w:tc>
          <w:tcPr>
            <w:tcW w:w="1240" w:type="dxa"/>
            <w:vAlign w:val="bottom"/>
            <w:shd w:val="clear" w:color="auto" w:fill="E7E7E8"/>
          </w:tcPr>
          <w:p>
            <w:pPr>
              <w:jc w:val="center"/>
              <w:spacing w:after="0" w:line="139" w:lineRule="exact"/>
              <w:rPr>
                <w:sz w:val="20"/>
                <w:szCs w:val="20"/>
                <w:color w:val="auto"/>
              </w:rPr>
            </w:pPr>
            <w:r>
              <w:rPr>
                <w:rFonts w:ascii="Arial" w:cs="Arial" w:eastAsia="Arial" w:hAnsi="Arial"/>
                <w:sz w:val="14"/>
                <w:szCs w:val="14"/>
                <w:b w:val="1"/>
                <w:bCs w:val="1"/>
                <w:color w:val="0033A0"/>
                <w:w w:val="91"/>
              </w:rPr>
              <w:t>Units</w:t>
            </w:r>
          </w:p>
        </w:tc>
        <w:tc>
          <w:tcPr>
            <w:tcW w:w="1040" w:type="dxa"/>
            <w:vAlign w:val="bottom"/>
            <w:shd w:val="clear" w:color="auto" w:fill="E7E7E8"/>
          </w:tcPr>
          <w:p>
            <w:pPr>
              <w:jc w:val="center"/>
              <w:spacing w:after="0" w:line="139" w:lineRule="exact"/>
              <w:rPr>
                <w:sz w:val="20"/>
                <w:szCs w:val="20"/>
                <w:color w:val="auto"/>
              </w:rPr>
            </w:pPr>
            <w:r>
              <w:rPr>
                <w:rFonts w:ascii="Arial" w:cs="Arial" w:eastAsia="Arial" w:hAnsi="Arial"/>
                <w:sz w:val="14"/>
                <w:szCs w:val="14"/>
                <w:b w:val="1"/>
                <w:bCs w:val="1"/>
                <w:color w:val="0033A0"/>
                <w:w w:val="94"/>
              </w:rPr>
              <w:t>Awards</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BFBFBF"/>
            </w:tcBorders>
            <w:vMerge w:val="continue"/>
            <w:shd w:val="clear" w:color="auto" w:fill="E7E7E8"/>
          </w:tcPr>
          <w:p>
            <w:pPr>
              <w:spacing w:after="0"/>
              <w:rPr>
                <w:sz w:val="15"/>
                <w:szCs w:val="15"/>
                <w:color w:val="auto"/>
              </w:rPr>
            </w:pPr>
          </w:p>
        </w:tc>
        <w:tc>
          <w:tcPr>
            <w:tcW w:w="1440" w:type="dxa"/>
            <w:vAlign w:val="bottom"/>
            <w:tcBorders>
              <w:bottom w:val="single" w:sz="8" w:color="BFBFBF"/>
            </w:tcBorders>
            <w:vMerge w:val="continue"/>
            <w:shd w:val="clear" w:color="auto" w:fill="E7E7E8"/>
          </w:tcPr>
          <w:p>
            <w:pPr>
              <w:spacing w:after="0"/>
              <w:rPr>
                <w:sz w:val="15"/>
                <w:szCs w:val="15"/>
                <w:color w:val="auto"/>
              </w:rPr>
            </w:pPr>
          </w:p>
        </w:tc>
        <w:tc>
          <w:tcPr>
            <w:tcW w:w="960" w:type="dxa"/>
            <w:vAlign w:val="bottom"/>
            <w:tcBorders>
              <w:bottom w:val="single" w:sz="8" w:color="BFBFBF"/>
            </w:tcBorders>
            <w:shd w:val="clear" w:color="auto" w:fill="E7E7E8"/>
          </w:tcPr>
          <w:p>
            <w:pPr>
              <w:jc w:val="center"/>
              <w:ind w:left="88"/>
              <w:spacing w:after="0"/>
              <w:rPr>
                <w:sz w:val="20"/>
                <w:szCs w:val="20"/>
                <w:color w:val="auto"/>
              </w:rPr>
            </w:pPr>
            <w:r>
              <w:rPr>
                <w:rFonts w:ascii="Arial" w:cs="Arial" w:eastAsia="Arial" w:hAnsi="Arial"/>
                <w:sz w:val="14"/>
                <w:szCs w:val="14"/>
                <w:b w:val="1"/>
                <w:bCs w:val="1"/>
                <w:color w:val="0033A0"/>
                <w:w w:val="92"/>
              </w:rPr>
              <w:t>Date</w:t>
            </w:r>
          </w:p>
        </w:tc>
        <w:tc>
          <w:tcPr>
            <w:tcW w:w="800" w:type="dxa"/>
            <w:vAlign w:val="bottom"/>
            <w:tcBorders>
              <w:bottom w:val="single" w:sz="8" w:color="BFBFBF"/>
            </w:tcBorders>
            <w:shd w:val="clear" w:color="auto" w:fill="E7E7E8"/>
          </w:tcPr>
          <w:p>
            <w:pPr>
              <w:jc w:val="right"/>
              <w:ind w:right="228"/>
              <w:spacing w:after="0"/>
              <w:rPr>
                <w:sz w:val="20"/>
                <w:szCs w:val="20"/>
                <w:color w:val="auto"/>
              </w:rPr>
            </w:pPr>
            <w:r>
              <w:rPr>
                <w:rFonts w:ascii="Arial" w:cs="Arial" w:eastAsia="Arial" w:hAnsi="Arial"/>
                <w:sz w:val="14"/>
                <w:szCs w:val="14"/>
                <w:b w:val="1"/>
                <w:bCs w:val="1"/>
                <w:color w:val="0033A0"/>
              </w:rPr>
              <w:t>($)</w:t>
            </w:r>
          </w:p>
        </w:tc>
        <w:tc>
          <w:tcPr>
            <w:tcW w:w="1080" w:type="dxa"/>
            <w:vAlign w:val="bottom"/>
            <w:tcBorders>
              <w:bottom w:val="single" w:sz="8" w:color="BFBFBF"/>
            </w:tcBorders>
            <w:shd w:val="clear" w:color="auto" w:fill="E7E7E8"/>
          </w:tcPr>
          <w:p>
            <w:pPr>
              <w:jc w:val="right"/>
              <w:ind w:right="408"/>
              <w:spacing w:after="0"/>
              <w:rPr>
                <w:sz w:val="20"/>
                <w:szCs w:val="20"/>
                <w:color w:val="auto"/>
              </w:rPr>
            </w:pPr>
            <w:r>
              <w:rPr>
                <w:rFonts w:ascii="Arial" w:cs="Arial" w:eastAsia="Arial" w:hAnsi="Arial"/>
                <w:sz w:val="14"/>
                <w:szCs w:val="14"/>
                <w:b w:val="1"/>
                <w:bCs w:val="1"/>
                <w:color w:val="0033A0"/>
              </w:rPr>
              <w:t>($)</w:t>
            </w:r>
          </w:p>
        </w:tc>
        <w:tc>
          <w:tcPr>
            <w:tcW w:w="840" w:type="dxa"/>
            <w:vAlign w:val="bottom"/>
            <w:tcBorders>
              <w:bottom w:val="single" w:sz="8" w:color="BFBFBF"/>
            </w:tcBorders>
            <w:shd w:val="clear" w:color="auto" w:fill="E7E7E8"/>
          </w:tcPr>
          <w:p>
            <w:pPr>
              <w:jc w:val="right"/>
              <w:ind w:right="308"/>
              <w:spacing w:after="0"/>
              <w:rPr>
                <w:sz w:val="20"/>
                <w:szCs w:val="20"/>
                <w:color w:val="auto"/>
              </w:rPr>
            </w:pPr>
            <w:r>
              <w:rPr>
                <w:rFonts w:ascii="Arial" w:cs="Arial" w:eastAsia="Arial" w:hAnsi="Arial"/>
                <w:sz w:val="14"/>
                <w:szCs w:val="14"/>
                <w:b w:val="1"/>
                <w:bCs w:val="1"/>
                <w:color w:val="0033A0"/>
              </w:rPr>
              <w:t>($)</w:t>
            </w:r>
          </w:p>
        </w:tc>
        <w:tc>
          <w:tcPr>
            <w:tcW w:w="800" w:type="dxa"/>
            <w:vAlign w:val="bottom"/>
            <w:tcBorders>
              <w:bottom w:val="single" w:sz="8" w:color="BFBFBF"/>
            </w:tcBorders>
            <w:shd w:val="clear" w:color="auto" w:fill="E7E7E8"/>
          </w:tcPr>
          <w:p>
            <w:pPr>
              <w:jc w:val="right"/>
              <w:ind w:right="208"/>
              <w:spacing w:after="0"/>
              <w:rPr>
                <w:sz w:val="20"/>
                <w:szCs w:val="20"/>
                <w:color w:val="auto"/>
              </w:rPr>
            </w:pPr>
            <w:r>
              <w:rPr>
                <w:rFonts w:ascii="Arial" w:cs="Arial" w:eastAsia="Arial" w:hAnsi="Arial"/>
                <w:sz w:val="14"/>
                <w:szCs w:val="14"/>
                <w:b w:val="1"/>
                <w:bCs w:val="1"/>
                <w:color w:val="0033A0"/>
              </w:rPr>
              <w:t>(#)</w:t>
            </w:r>
          </w:p>
        </w:tc>
        <w:tc>
          <w:tcPr>
            <w:tcW w:w="980" w:type="dxa"/>
            <w:vAlign w:val="bottom"/>
            <w:tcBorders>
              <w:bottom w:val="single" w:sz="8" w:color="BFBFBF"/>
            </w:tcBorders>
            <w:shd w:val="clear" w:color="auto" w:fill="E7E7E8"/>
          </w:tcPr>
          <w:p>
            <w:pPr>
              <w:jc w:val="right"/>
              <w:ind w:right="368"/>
              <w:spacing w:after="0"/>
              <w:rPr>
                <w:sz w:val="20"/>
                <w:szCs w:val="20"/>
                <w:color w:val="auto"/>
              </w:rPr>
            </w:pPr>
            <w:r>
              <w:rPr>
                <w:rFonts w:ascii="Arial" w:cs="Arial" w:eastAsia="Arial" w:hAnsi="Arial"/>
                <w:sz w:val="14"/>
                <w:szCs w:val="14"/>
                <w:b w:val="1"/>
                <w:bCs w:val="1"/>
                <w:color w:val="0033A0"/>
              </w:rPr>
              <w:t>(#)</w:t>
            </w:r>
          </w:p>
        </w:tc>
        <w:tc>
          <w:tcPr>
            <w:tcW w:w="820" w:type="dxa"/>
            <w:vAlign w:val="bottom"/>
            <w:tcBorders>
              <w:bottom w:val="single" w:sz="8" w:color="BFBFBF"/>
            </w:tcBorders>
            <w:shd w:val="clear" w:color="auto" w:fill="E7E7E8"/>
          </w:tcPr>
          <w:p>
            <w:pPr>
              <w:jc w:val="right"/>
              <w:ind w:right="328"/>
              <w:spacing w:after="0"/>
              <w:rPr>
                <w:sz w:val="20"/>
                <w:szCs w:val="20"/>
                <w:color w:val="auto"/>
              </w:rPr>
            </w:pPr>
            <w:r>
              <w:rPr>
                <w:rFonts w:ascii="Arial" w:cs="Arial" w:eastAsia="Arial" w:hAnsi="Arial"/>
                <w:sz w:val="14"/>
                <w:szCs w:val="14"/>
                <w:b w:val="1"/>
                <w:bCs w:val="1"/>
                <w:color w:val="0033A0"/>
              </w:rPr>
              <w:t>(#)</w:t>
            </w:r>
          </w:p>
        </w:tc>
        <w:tc>
          <w:tcPr>
            <w:tcW w:w="1240" w:type="dxa"/>
            <w:vAlign w:val="bottom"/>
            <w:tcBorders>
              <w:bottom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(3)</w:t>
            </w:r>
          </w:p>
        </w:tc>
        <w:tc>
          <w:tcPr>
            <w:tcW w:w="1040" w:type="dxa"/>
            <w:vAlign w:val="bottom"/>
            <w:tcBorders>
              <w:bottom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(4)</w:t>
            </w:r>
          </w:p>
        </w:tc>
        <w:tc>
          <w:tcPr>
            <w:tcW w:w="0" w:type="dxa"/>
            <w:vAlign w:val="bottom"/>
          </w:tcPr>
          <w:p>
            <w:pPr>
              <w:spacing w:after="0"/>
              <w:rPr>
                <w:sz w:val="1"/>
                <w:szCs w:val="1"/>
                <w:color w:val="auto"/>
              </w:rPr>
            </w:pPr>
          </w:p>
        </w:tc>
      </w:tr>
    </w:tbl>
    <w:p>
      <w:pPr>
        <w:ind w:left="1640"/>
        <w:spacing w:after="0"/>
        <w:rPr>
          <w:sz w:val="20"/>
          <w:szCs w:val="20"/>
          <w:color w:val="auto"/>
        </w:rPr>
      </w:pPr>
      <w:r>
        <w:rPr>
          <w:rFonts w:ascii="Arial" w:cs="Arial" w:eastAsia="Arial" w:hAnsi="Arial"/>
          <w:sz w:val="18"/>
          <w:szCs w:val="18"/>
          <w:color w:val="auto"/>
        </w:rPr>
        <w:t>Short-Term</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1"/>
              </w:rPr>
              <w:t>Incentive</w:t>
            </w:r>
          </w:p>
        </w:tc>
        <w:tc>
          <w:tcPr>
            <w:tcW w:w="10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600,000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1,200,000</w:t>
            </w:r>
          </w:p>
        </w:tc>
        <w:tc>
          <w:tcPr>
            <w:tcW w:w="1780" w:type="dxa"/>
            <w:vAlign w:val="bottom"/>
          </w:tcPr>
          <w:p>
            <w:pPr>
              <w:jc w:val="right"/>
              <w:ind w:right="899"/>
              <w:spacing w:after="0"/>
              <w:rPr>
                <w:sz w:val="20"/>
                <w:szCs w:val="20"/>
                <w:color w:val="auto"/>
              </w:rPr>
            </w:pPr>
            <w:r>
              <w:rPr>
                <w:rFonts w:ascii="Arial" w:cs="Arial" w:eastAsia="Arial" w:hAnsi="Arial"/>
                <w:sz w:val="16"/>
                <w:szCs w:val="16"/>
                <w:color w:val="auto"/>
              </w:rPr>
              <w:t>1,800,000</w:t>
            </w:r>
          </w:p>
        </w:tc>
        <w:tc>
          <w:tcPr>
            <w:tcW w:w="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vMerge w:val="restart"/>
          </w:tcPr>
          <w:p>
            <w:pPr>
              <w:ind w:left="140"/>
              <w:spacing w:after="0"/>
              <w:rPr>
                <w:sz w:val="20"/>
                <w:szCs w:val="20"/>
                <w:color w:val="auto"/>
              </w:rPr>
            </w:pPr>
            <w:r>
              <w:rPr>
                <w:rFonts w:ascii="Arial" w:cs="Arial" w:eastAsia="Arial" w:hAnsi="Arial"/>
                <w:sz w:val="18"/>
                <w:szCs w:val="18"/>
                <w:b w:val="1"/>
                <w:bCs w:val="1"/>
                <w:color w:val="0033A0"/>
              </w:rPr>
              <w:t>Mr. Symson</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2/25/2020</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68,819</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137,639</w:t>
            </w:r>
          </w:p>
        </w:tc>
        <w:tc>
          <w:tcPr>
            <w:tcW w:w="2060" w:type="dxa"/>
            <w:vAlign w:val="bottom"/>
          </w:tcPr>
          <w:p>
            <w:pPr>
              <w:jc w:val="right"/>
              <w:ind w:right="1259"/>
              <w:spacing w:after="0"/>
              <w:rPr>
                <w:sz w:val="20"/>
                <w:szCs w:val="20"/>
                <w:color w:val="auto"/>
              </w:rPr>
            </w:pPr>
            <w:r>
              <w:rPr>
                <w:rFonts w:ascii="Arial" w:cs="Arial" w:eastAsia="Arial" w:hAnsi="Arial"/>
                <w:sz w:val="16"/>
                <w:szCs w:val="16"/>
                <w:color w:val="auto"/>
              </w:rPr>
              <w:t>206,458</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1,224,987</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2/25/2020</w:t>
            </w:r>
          </w:p>
        </w:tc>
        <w:tc>
          <w:tcPr>
            <w:tcW w:w="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91,758</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816,646</w:t>
            </w:r>
          </w:p>
        </w:tc>
        <w:tc>
          <w:tcPr>
            <w:tcW w:w="0" w:type="dxa"/>
            <w:vAlign w:val="bottom"/>
          </w:tcPr>
          <w:p>
            <w:pPr>
              <w:spacing w:after="0"/>
              <w:rPr>
                <w:sz w:val="1"/>
                <w:szCs w:val="1"/>
                <w:color w:val="auto"/>
              </w:rPr>
            </w:pPr>
          </w:p>
        </w:tc>
      </w:tr>
      <w:tr>
        <w:trPr>
          <w:trHeight w:val="209"/>
        </w:trPr>
        <w:tc>
          <w:tcPr>
            <w:tcW w:w="1240" w:type="dxa"/>
            <w:vAlign w:val="bottom"/>
            <w:shd w:val="clear" w:color="auto" w:fill="F3F3F3"/>
          </w:tcPr>
          <w:p>
            <w:pPr>
              <w:spacing w:after="0"/>
              <w:rPr>
                <w:sz w:val="18"/>
                <w:szCs w:val="18"/>
                <w:color w:val="auto"/>
              </w:rPr>
            </w:pPr>
          </w:p>
        </w:tc>
        <w:tc>
          <w:tcPr>
            <w:tcW w:w="1420" w:type="dxa"/>
            <w:vAlign w:val="bottom"/>
            <w:shd w:val="clear" w:color="auto" w:fill="F3F3F3"/>
          </w:tcPr>
          <w:p>
            <w:pPr>
              <w:jc w:val="center"/>
              <w:ind w:left="110"/>
              <w:spacing w:after="0"/>
              <w:rPr>
                <w:sz w:val="20"/>
                <w:szCs w:val="20"/>
                <w:color w:val="auto"/>
              </w:rPr>
            </w:pPr>
            <w:r>
              <w:rPr>
                <w:rFonts w:ascii="Arial" w:cs="Arial" w:eastAsia="Arial" w:hAnsi="Arial"/>
                <w:sz w:val="18"/>
                <w:szCs w:val="18"/>
                <w:color w:val="auto"/>
                <w:w w:val="90"/>
              </w:rPr>
              <w:t>Short-Term</w:t>
            </w:r>
          </w:p>
        </w:tc>
        <w:tc>
          <w:tcPr>
            <w:tcW w:w="1080" w:type="dxa"/>
            <w:vAlign w:val="bottom"/>
            <w:shd w:val="clear" w:color="auto" w:fill="F3F3F3"/>
          </w:tcPr>
          <w:p>
            <w:pPr>
              <w:spacing w:after="0"/>
              <w:rPr>
                <w:sz w:val="18"/>
                <w:szCs w:val="18"/>
                <w:color w:val="auto"/>
              </w:rPr>
            </w:pPr>
          </w:p>
        </w:tc>
        <w:tc>
          <w:tcPr>
            <w:tcW w:w="800" w:type="dxa"/>
            <w:vAlign w:val="bottom"/>
            <w:shd w:val="clear" w:color="auto" w:fill="F3F3F3"/>
          </w:tcPr>
          <w:p>
            <w:pPr>
              <w:spacing w:after="0"/>
              <w:rPr>
                <w:sz w:val="18"/>
                <w:szCs w:val="18"/>
                <w:color w:val="auto"/>
              </w:rPr>
            </w:pPr>
          </w:p>
        </w:tc>
        <w:tc>
          <w:tcPr>
            <w:tcW w:w="940" w:type="dxa"/>
            <w:vAlign w:val="bottom"/>
            <w:shd w:val="clear" w:color="auto" w:fill="F3F3F3"/>
          </w:tcPr>
          <w:p>
            <w:pPr>
              <w:spacing w:after="0"/>
              <w:rPr>
                <w:sz w:val="18"/>
                <w:szCs w:val="18"/>
                <w:color w:val="auto"/>
              </w:rPr>
            </w:pPr>
          </w:p>
        </w:tc>
        <w:tc>
          <w:tcPr>
            <w:tcW w:w="1780" w:type="dxa"/>
            <w:vAlign w:val="bottom"/>
            <w:shd w:val="clear" w:color="auto" w:fill="F3F3F3"/>
          </w:tcPr>
          <w:p>
            <w:pPr>
              <w:spacing w:after="0"/>
              <w:rPr>
                <w:sz w:val="18"/>
                <w:szCs w:val="18"/>
                <w:color w:val="auto"/>
              </w:rPr>
            </w:pPr>
          </w:p>
        </w:tc>
        <w:tc>
          <w:tcPr>
            <w:tcW w:w="840" w:type="dxa"/>
            <w:vAlign w:val="bottom"/>
            <w:shd w:val="clear" w:color="auto" w:fill="F3F3F3"/>
          </w:tcPr>
          <w:p>
            <w:pPr>
              <w:spacing w:after="0"/>
              <w:rPr>
                <w:sz w:val="18"/>
                <w:szCs w:val="18"/>
                <w:color w:val="auto"/>
              </w:rPr>
            </w:pPr>
          </w:p>
        </w:tc>
        <w:tc>
          <w:tcPr>
            <w:tcW w:w="2060" w:type="dxa"/>
            <w:vAlign w:val="bottom"/>
            <w:shd w:val="clear" w:color="auto" w:fill="F3F3F3"/>
          </w:tcPr>
          <w:p>
            <w:pPr>
              <w:spacing w:after="0"/>
              <w:rPr>
                <w:sz w:val="18"/>
                <w:szCs w:val="18"/>
                <w:color w:val="auto"/>
              </w:rPr>
            </w:pPr>
          </w:p>
        </w:tc>
        <w:tc>
          <w:tcPr>
            <w:tcW w:w="108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F3F3F3"/>
          </w:tcPr>
          <w:p>
            <w:pPr>
              <w:spacing w:after="0"/>
              <w:rPr>
                <w:sz w:val="20"/>
                <w:szCs w:val="20"/>
                <w:color w:val="auto"/>
              </w:rPr>
            </w:pPr>
          </w:p>
        </w:tc>
        <w:tc>
          <w:tcPr>
            <w:tcW w:w="1420" w:type="dxa"/>
            <w:vAlign w:val="bottom"/>
            <w:shd w:val="clear" w:color="auto" w:fill="F3F3F3"/>
          </w:tcPr>
          <w:p>
            <w:pPr>
              <w:jc w:val="center"/>
              <w:ind w:left="110"/>
              <w:spacing w:after="0"/>
              <w:rPr>
                <w:sz w:val="20"/>
                <w:szCs w:val="20"/>
                <w:color w:val="auto"/>
              </w:rPr>
            </w:pPr>
            <w:r>
              <w:rPr>
                <w:rFonts w:ascii="Arial" w:cs="Arial" w:eastAsia="Arial" w:hAnsi="Arial"/>
                <w:sz w:val="18"/>
                <w:szCs w:val="18"/>
                <w:color w:val="auto"/>
                <w:w w:val="91"/>
              </w:rPr>
              <w:t>Incentive</w:t>
            </w:r>
          </w:p>
        </w:tc>
        <w:tc>
          <w:tcPr>
            <w:tcW w:w="1080" w:type="dxa"/>
            <w:vAlign w:val="bottom"/>
            <w:shd w:val="clear" w:color="auto" w:fill="F3F3F3"/>
          </w:tcPr>
          <w:p>
            <w:pPr>
              <w:spacing w:after="0"/>
              <w:rPr>
                <w:sz w:val="20"/>
                <w:szCs w:val="20"/>
                <w:color w:val="auto"/>
              </w:rPr>
            </w:pPr>
          </w:p>
        </w:tc>
        <w:tc>
          <w:tcPr>
            <w:tcW w:w="80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195,000</w:t>
            </w:r>
          </w:p>
        </w:tc>
        <w:tc>
          <w:tcPr>
            <w:tcW w:w="94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390,000</w:t>
            </w:r>
          </w:p>
        </w:tc>
        <w:tc>
          <w:tcPr>
            <w:tcW w:w="1780" w:type="dxa"/>
            <w:vAlign w:val="bottom"/>
            <w:shd w:val="clear" w:color="auto" w:fill="F3F3F3"/>
          </w:tcPr>
          <w:p>
            <w:pPr>
              <w:jc w:val="right"/>
              <w:ind w:right="899"/>
              <w:spacing w:after="0"/>
              <w:rPr>
                <w:sz w:val="20"/>
                <w:szCs w:val="20"/>
                <w:color w:val="auto"/>
              </w:rPr>
            </w:pPr>
            <w:r>
              <w:rPr>
                <w:rFonts w:ascii="Arial" w:cs="Arial" w:eastAsia="Arial" w:hAnsi="Arial"/>
                <w:sz w:val="16"/>
                <w:szCs w:val="16"/>
                <w:color w:val="auto"/>
              </w:rPr>
              <w:t>585,000</w:t>
            </w:r>
          </w:p>
        </w:tc>
        <w:tc>
          <w:tcPr>
            <w:tcW w:w="840" w:type="dxa"/>
            <w:vAlign w:val="bottom"/>
            <w:shd w:val="clear" w:color="auto" w:fill="F3F3F3"/>
          </w:tcPr>
          <w:p>
            <w:pPr>
              <w:spacing w:after="0"/>
              <w:rPr>
                <w:sz w:val="20"/>
                <w:szCs w:val="20"/>
                <w:color w:val="auto"/>
              </w:rPr>
            </w:pPr>
          </w:p>
        </w:tc>
        <w:tc>
          <w:tcPr>
            <w:tcW w:w="2060" w:type="dxa"/>
            <w:vAlign w:val="bottom"/>
            <w:shd w:val="clear" w:color="auto" w:fill="F3F3F3"/>
          </w:tcPr>
          <w:p>
            <w:pPr>
              <w:spacing w:after="0"/>
              <w:rPr>
                <w:sz w:val="20"/>
                <w:szCs w:val="20"/>
                <w:color w:val="auto"/>
              </w:rPr>
            </w:pPr>
          </w:p>
        </w:tc>
        <w:tc>
          <w:tcPr>
            <w:tcW w:w="1080" w:type="dxa"/>
            <w:vAlign w:val="bottom"/>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vMerge w:val="restart"/>
            <w:shd w:val="clear" w:color="auto" w:fill="F3F3F3"/>
          </w:tcPr>
          <w:p>
            <w:pPr>
              <w:ind w:left="140"/>
              <w:spacing w:after="0"/>
              <w:rPr>
                <w:sz w:val="20"/>
                <w:szCs w:val="20"/>
                <w:color w:val="auto"/>
              </w:rPr>
            </w:pPr>
            <w:r>
              <w:rPr>
                <w:rFonts w:ascii="Arial" w:cs="Arial" w:eastAsia="Arial" w:hAnsi="Arial"/>
                <w:sz w:val="18"/>
                <w:szCs w:val="18"/>
                <w:b w:val="1"/>
                <w:bCs w:val="1"/>
                <w:color w:val="0033A0"/>
                <w:w w:val="99"/>
              </w:rPr>
              <w:t>Ms. Knutson</w:t>
            </w:r>
          </w:p>
        </w:tc>
        <w:tc>
          <w:tcPr>
            <w:tcW w:w="1420" w:type="dxa"/>
            <w:vAlign w:val="bottom"/>
            <w:shd w:val="clear" w:color="auto" w:fill="F3F3F3"/>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shd w:val="clear" w:color="auto" w:fill="F3F3F3"/>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shd w:val="clear" w:color="auto" w:fill="F3F3F3"/>
          </w:tcPr>
          <w:p>
            <w:pPr>
              <w:spacing w:after="0"/>
              <w:rPr>
                <w:sz w:val="19"/>
                <w:szCs w:val="19"/>
                <w:color w:val="auto"/>
              </w:rPr>
            </w:pPr>
          </w:p>
        </w:tc>
        <w:tc>
          <w:tcPr>
            <w:tcW w:w="940" w:type="dxa"/>
            <w:vAlign w:val="bottom"/>
            <w:shd w:val="clear" w:color="auto" w:fill="F3F3F3"/>
          </w:tcPr>
          <w:p>
            <w:pPr>
              <w:spacing w:after="0"/>
              <w:rPr>
                <w:sz w:val="19"/>
                <w:szCs w:val="19"/>
                <w:color w:val="auto"/>
              </w:rPr>
            </w:pPr>
          </w:p>
        </w:tc>
        <w:tc>
          <w:tcPr>
            <w:tcW w:w="178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9,346</w:t>
            </w:r>
          </w:p>
        </w:tc>
        <w:tc>
          <w:tcPr>
            <w:tcW w:w="84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18,692</w:t>
            </w:r>
          </w:p>
        </w:tc>
        <w:tc>
          <w:tcPr>
            <w:tcW w:w="2060" w:type="dxa"/>
            <w:vAlign w:val="bottom"/>
            <w:shd w:val="clear" w:color="auto" w:fill="F3F3F3"/>
          </w:tcPr>
          <w:p>
            <w:pPr>
              <w:jc w:val="right"/>
              <w:ind w:right="1259"/>
              <w:spacing w:after="0"/>
              <w:rPr>
                <w:sz w:val="20"/>
                <w:szCs w:val="20"/>
                <w:color w:val="auto"/>
              </w:rPr>
            </w:pPr>
            <w:r>
              <w:rPr>
                <w:rFonts w:ascii="Arial" w:cs="Arial" w:eastAsia="Arial" w:hAnsi="Arial"/>
                <w:sz w:val="16"/>
                <w:szCs w:val="16"/>
                <w:color w:val="auto"/>
              </w:rPr>
              <w:t>28,038</w:t>
            </w:r>
          </w:p>
        </w:tc>
        <w:tc>
          <w:tcPr>
            <w:tcW w:w="1080" w:type="dxa"/>
            <w:vAlign w:val="bottom"/>
            <w:shd w:val="clear" w:color="auto" w:fill="F3F3F3"/>
          </w:tcPr>
          <w:p>
            <w:pPr>
              <w:jc w:val="right"/>
              <w:ind w:right="39"/>
              <w:spacing w:after="0"/>
              <w:rPr>
                <w:sz w:val="20"/>
                <w:szCs w:val="20"/>
                <w:color w:val="auto"/>
              </w:rPr>
            </w:pPr>
            <w:r>
              <w:rPr>
                <w:rFonts w:ascii="Arial" w:cs="Arial" w:eastAsia="Arial" w:hAnsi="Arial"/>
                <w:sz w:val="16"/>
                <w:szCs w:val="16"/>
                <w:color w:val="auto"/>
              </w:rPr>
              <w:t>166,359</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vMerge w:val="continue"/>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Borders>
              <w:bottom w:val="single" w:sz="8" w:color="auto"/>
            </w:tcBorders>
            <w:shd w:val="clear" w:color="auto" w:fill="F3F3F3"/>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tcBorders>
              <w:bottom w:val="single" w:sz="8" w:color="auto"/>
            </w:tcBorders>
            <w:shd w:val="clear" w:color="auto" w:fill="F3F3F3"/>
          </w:tcPr>
          <w:p>
            <w:pPr>
              <w:spacing w:after="0"/>
              <w:rPr>
                <w:sz w:val="19"/>
                <w:szCs w:val="19"/>
                <w:color w:val="auto"/>
              </w:rPr>
            </w:pPr>
          </w:p>
        </w:tc>
        <w:tc>
          <w:tcPr>
            <w:tcW w:w="940" w:type="dxa"/>
            <w:vAlign w:val="bottom"/>
            <w:tcBorders>
              <w:bottom w:val="single" w:sz="8" w:color="auto"/>
            </w:tcBorders>
            <w:shd w:val="clear" w:color="auto" w:fill="F3F3F3"/>
          </w:tcPr>
          <w:p>
            <w:pPr>
              <w:spacing w:after="0"/>
              <w:rPr>
                <w:sz w:val="19"/>
                <w:szCs w:val="19"/>
                <w:color w:val="auto"/>
              </w:rPr>
            </w:pPr>
          </w:p>
        </w:tc>
        <w:tc>
          <w:tcPr>
            <w:tcW w:w="1780" w:type="dxa"/>
            <w:vAlign w:val="bottom"/>
            <w:tcBorders>
              <w:bottom w:val="single" w:sz="8" w:color="auto"/>
            </w:tcBorders>
            <w:shd w:val="clear" w:color="auto" w:fill="F3F3F3"/>
          </w:tcPr>
          <w:p>
            <w:pPr>
              <w:spacing w:after="0"/>
              <w:rPr>
                <w:sz w:val="19"/>
                <w:szCs w:val="19"/>
                <w:color w:val="auto"/>
              </w:rPr>
            </w:pPr>
          </w:p>
        </w:tc>
        <w:tc>
          <w:tcPr>
            <w:tcW w:w="840" w:type="dxa"/>
            <w:vAlign w:val="bottom"/>
            <w:tcBorders>
              <w:bottom w:val="single" w:sz="8" w:color="auto"/>
            </w:tcBorders>
            <w:shd w:val="clear" w:color="auto" w:fill="F3F3F3"/>
          </w:tcPr>
          <w:p>
            <w:pPr>
              <w:spacing w:after="0"/>
              <w:rPr>
                <w:sz w:val="19"/>
                <w:szCs w:val="19"/>
                <w:color w:val="auto"/>
              </w:rPr>
            </w:pPr>
          </w:p>
        </w:tc>
        <w:tc>
          <w:tcPr>
            <w:tcW w:w="2060" w:type="dxa"/>
            <w:vAlign w:val="bottom"/>
            <w:tcBorders>
              <w:bottom w:val="single" w:sz="8" w:color="auto"/>
            </w:tcBorders>
            <w:shd w:val="clear" w:color="auto" w:fill="F3F3F3"/>
          </w:tcPr>
          <w:p>
            <w:pPr>
              <w:jc w:val="right"/>
              <w:ind w:right="239"/>
              <w:spacing w:after="0"/>
              <w:rPr>
                <w:sz w:val="20"/>
                <w:szCs w:val="20"/>
                <w:color w:val="auto"/>
              </w:rPr>
            </w:pPr>
            <w:r>
              <w:rPr>
                <w:rFonts w:ascii="Arial" w:cs="Arial" w:eastAsia="Arial" w:hAnsi="Arial"/>
                <w:sz w:val="16"/>
                <w:szCs w:val="16"/>
                <w:color w:val="auto"/>
              </w:rPr>
              <w:t>28,037</w:t>
            </w:r>
          </w:p>
        </w:tc>
        <w:tc>
          <w:tcPr>
            <w:tcW w:w="1080" w:type="dxa"/>
            <w:vAlign w:val="bottom"/>
            <w:tcBorders>
              <w:bottom w:val="single" w:sz="8" w:color="auto"/>
            </w:tcBorders>
            <w:shd w:val="clear" w:color="auto" w:fill="F3F3F3"/>
          </w:tcPr>
          <w:p>
            <w:pPr>
              <w:jc w:val="right"/>
              <w:ind w:right="39"/>
              <w:spacing w:after="0"/>
              <w:rPr>
                <w:sz w:val="20"/>
                <w:szCs w:val="20"/>
                <w:color w:val="auto"/>
              </w:rPr>
            </w:pPr>
            <w:r>
              <w:rPr>
                <w:rFonts w:ascii="Arial" w:cs="Arial" w:eastAsia="Arial" w:hAnsi="Arial"/>
                <w:sz w:val="16"/>
                <w:szCs w:val="16"/>
                <w:color w:val="auto"/>
              </w:rPr>
              <w:t>249,529</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0"/>
              </w:rPr>
              <w:t>Short-Term</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1"/>
              </w:rPr>
              <w:t>Incentive</w:t>
            </w:r>
          </w:p>
        </w:tc>
        <w:tc>
          <w:tcPr>
            <w:tcW w:w="108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210,000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420,000</w:t>
            </w:r>
          </w:p>
        </w:tc>
        <w:tc>
          <w:tcPr>
            <w:tcW w:w="1780" w:type="dxa"/>
            <w:vAlign w:val="bottom"/>
          </w:tcPr>
          <w:p>
            <w:pPr>
              <w:jc w:val="right"/>
              <w:ind w:right="899"/>
              <w:spacing w:after="0"/>
              <w:rPr>
                <w:sz w:val="20"/>
                <w:szCs w:val="20"/>
                <w:color w:val="auto"/>
              </w:rPr>
            </w:pPr>
            <w:r>
              <w:rPr>
                <w:rFonts w:ascii="Arial" w:cs="Arial" w:eastAsia="Arial" w:hAnsi="Arial"/>
                <w:sz w:val="16"/>
                <w:szCs w:val="16"/>
                <w:color w:val="auto"/>
              </w:rPr>
              <w:t>630,000</w:t>
            </w:r>
          </w:p>
        </w:tc>
        <w:tc>
          <w:tcPr>
            <w:tcW w:w="8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vMerge w:val="restart"/>
          </w:tcPr>
          <w:p>
            <w:pPr>
              <w:ind w:left="140"/>
              <w:spacing w:after="0"/>
              <w:rPr>
                <w:sz w:val="20"/>
                <w:szCs w:val="20"/>
                <w:color w:val="auto"/>
              </w:rPr>
            </w:pPr>
            <w:r>
              <w:rPr>
                <w:rFonts w:ascii="Arial" w:cs="Arial" w:eastAsia="Arial" w:hAnsi="Arial"/>
                <w:sz w:val="18"/>
                <w:szCs w:val="18"/>
                <w:b w:val="1"/>
                <w:bCs w:val="1"/>
                <w:color w:val="0033A0"/>
              </w:rPr>
              <w:t>Mr. Lawlor</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10,195</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20,391</w:t>
            </w:r>
          </w:p>
        </w:tc>
        <w:tc>
          <w:tcPr>
            <w:tcW w:w="2060" w:type="dxa"/>
            <w:vAlign w:val="bottom"/>
          </w:tcPr>
          <w:p>
            <w:pPr>
              <w:jc w:val="right"/>
              <w:ind w:right="1259"/>
              <w:spacing w:after="0"/>
              <w:rPr>
                <w:sz w:val="20"/>
                <w:szCs w:val="20"/>
                <w:color w:val="auto"/>
              </w:rPr>
            </w:pPr>
            <w:r>
              <w:rPr>
                <w:rFonts w:ascii="Arial" w:cs="Arial" w:eastAsia="Arial" w:hAnsi="Arial"/>
                <w:sz w:val="16"/>
                <w:szCs w:val="16"/>
                <w:color w:val="auto"/>
              </w:rPr>
              <w:t>30,586</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181,480</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30,586</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272,215</w:t>
            </w:r>
          </w:p>
        </w:tc>
        <w:tc>
          <w:tcPr>
            <w:tcW w:w="0" w:type="dxa"/>
            <w:vAlign w:val="bottom"/>
          </w:tcPr>
          <w:p>
            <w:pPr>
              <w:spacing w:after="0"/>
              <w:rPr>
                <w:sz w:val="1"/>
                <w:szCs w:val="1"/>
                <w:color w:val="auto"/>
              </w:rPr>
            </w:pPr>
          </w:p>
        </w:tc>
      </w:tr>
      <w:tr>
        <w:trPr>
          <w:trHeight w:val="209"/>
        </w:trPr>
        <w:tc>
          <w:tcPr>
            <w:tcW w:w="1240" w:type="dxa"/>
            <w:vAlign w:val="bottom"/>
            <w:shd w:val="clear" w:color="auto" w:fill="F3F3F3"/>
          </w:tcPr>
          <w:p>
            <w:pPr>
              <w:spacing w:after="0"/>
              <w:rPr>
                <w:sz w:val="18"/>
                <w:szCs w:val="18"/>
                <w:color w:val="auto"/>
              </w:rPr>
            </w:pPr>
          </w:p>
        </w:tc>
        <w:tc>
          <w:tcPr>
            <w:tcW w:w="1420" w:type="dxa"/>
            <w:vAlign w:val="bottom"/>
            <w:shd w:val="clear" w:color="auto" w:fill="F3F3F3"/>
          </w:tcPr>
          <w:p>
            <w:pPr>
              <w:jc w:val="center"/>
              <w:ind w:left="110"/>
              <w:spacing w:after="0"/>
              <w:rPr>
                <w:sz w:val="20"/>
                <w:szCs w:val="20"/>
                <w:color w:val="auto"/>
              </w:rPr>
            </w:pPr>
            <w:r>
              <w:rPr>
                <w:rFonts w:ascii="Arial" w:cs="Arial" w:eastAsia="Arial" w:hAnsi="Arial"/>
                <w:sz w:val="18"/>
                <w:szCs w:val="18"/>
                <w:color w:val="auto"/>
                <w:w w:val="90"/>
              </w:rPr>
              <w:t>Short-Term</w:t>
            </w:r>
          </w:p>
        </w:tc>
        <w:tc>
          <w:tcPr>
            <w:tcW w:w="1080" w:type="dxa"/>
            <w:vAlign w:val="bottom"/>
            <w:shd w:val="clear" w:color="auto" w:fill="F3F3F3"/>
          </w:tcPr>
          <w:p>
            <w:pPr>
              <w:spacing w:after="0"/>
              <w:rPr>
                <w:sz w:val="18"/>
                <w:szCs w:val="18"/>
                <w:color w:val="auto"/>
              </w:rPr>
            </w:pPr>
          </w:p>
        </w:tc>
        <w:tc>
          <w:tcPr>
            <w:tcW w:w="800" w:type="dxa"/>
            <w:vAlign w:val="bottom"/>
            <w:shd w:val="clear" w:color="auto" w:fill="F3F3F3"/>
          </w:tcPr>
          <w:p>
            <w:pPr>
              <w:spacing w:after="0"/>
              <w:rPr>
                <w:sz w:val="18"/>
                <w:szCs w:val="18"/>
                <w:color w:val="auto"/>
              </w:rPr>
            </w:pPr>
          </w:p>
        </w:tc>
        <w:tc>
          <w:tcPr>
            <w:tcW w:w="940" w:type="dxa"/>
            <w:vAlign w:val="bottom"/>
            <w:shd w:val="clear" w:color="auto" w:fill="F3F3F3"/>
          </w:tcPr>
          <w:p>
            <w:pPr>
              <w:spacing w:after="0"/>
              <w:rPr>
                <w:sz w:val="18"/>
                <w:szCs w:val="18"/>
                <w:color w:val="auto"/>
              </w:rPr>
            </w:pPr>
          </w:p>
        </w:tc>
        <w:tc>
          <w:tcPr>
            <w:tcW w:w="1780" w:type="dxa"/>
            <w:vAlign w:val="bottom"/>
            <w:shd w:val="clear" w:color="auto" w:fill="F3F3F3"/>
          </w:tcPr>
          <w:p>
            <w:pPr>
              <w:spacing w:after="0"/>
              <w:rPr>
                <w:sz w:val="18"/>
                <w:szCs w:val="18"/>
                <w:color w:val="auto"/>
              </w:rPr>
            </w:pPr>
          </w:p>
        </w:tc>
        <w:tc>
          <w:tcPr>
            <w:tcW w:w="840" w:type="dxa"/>
            <w:vAlign w:val="bottom"/>
            <w:shd w:val="clear" w:color="auto" w:fill="F3F3F3"/>
          </w:tcPr>
          <w:p>
            <w:pPr>
              <w:spacing w:after="0"/>
              <w:rPr>
                <w:sz w:val="18"/>
                <w:szCs w:val="18"/>
                <w:color w:val="auto"/>
              </w:rPr>
            </w:pPr>
          </w:p>
        </w:tc>
        <w:tc>
          <w:tcPr>
            <w:tcW w:w="2060" w:type="dxa"/>
            <w:vAlign w:val="bottom"/>
            <w:shd w:val="clear" w:color="auto" w:fill="F3F3F3"/>
          </w:tcPr>
          <w:p>
            <w:pPr>
              <w:spacing w:after="0"/>
              <w:rPr>
                <w:sz w:val="18"/>
                <w:szCs w:val="18"/>
                <w:color w:val="auto"/>
              </w:rPr>
            </w:pPr>
          </w:p>
        </w:tc>
        <w:tc>
          <w:tcPr>
            <w:tcW w:w="108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F3F3F3"/>
          </w:tcPr>
          <w:p>
            <w:pPr>
              <w:spacing w:after="0"/>
              <w:rPr>
                <w:sz w:val="20"/>
                <w:szCs w:val="20"/>
                <w:color w:val="auto"/>
              </w:rPr>
            </w:pPr>
          </w:p>
        </w:tc>
        <w:tc>
          <w:tcPr>
            <w:tcW w:w="1420" w:type="dxa"/>
            <w:vAlign w:val="bottom"/>
            <w:shd w:val="clear" w:color="auto" w:fill="F3F3F3"/>
          </w:tcPr>
          <w:p>
            <w:pPr>
              <w:jc w:val="center"/>
              <w:ind w:left="110"/>
              <w:spacing w:after="0"/>
              <w:rPr>
                <w:sz w:val="20"/>
                <w:szCs w:val="20"/>
                <w:color w:val="auto"/>
              </w:rPr>
            </w:pPr>
            <w:r>
              <w:rPr>
                <w:rFonts w:ascii="Arial" w:cs="Arial" w:eastAsia="Arial" w:hAnsi="Arial"/>
                <w:sz w:val="18"/>
                <w:szCs w:val="18"/>
                <w:color w:val="auto"/>
                <w:w w:val="91"/>
              </w:rPr>
              <w:t>Incentive</w:t>
            </w:r>
          </w:p>
        </w:tc>
        <w:tc>
          <w:tcPr>
            <w:tcW w:w="1080" w:type="dxa"/>
            <w:vAlign w:val="bottom"/>
            <w:vMerge w:val="restart"/>
            <w:shd w:val="clear" w:color="auto" w:fill="F3F3F3"/>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152,700</w:t>
            </w:r>
          </w:p>
        </w:tc>
        <w:tc>
          <w:tcPr>
            <w:tcW w:w="94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305,400</w:t>
            </w:r>
          </w:p>
        </w:tc>
        <w:tc>
          <w:tcPr>
            <w:tcW w:w="1780" w:type="dxa"/>
            <w:vAlign w:val="bottom"/>
            <w:shd w:val="clear" w:color="auto" w:fill="F3F3F3"/>
          </w:tcPr>
          <w:p>
            <w:pPr>
              <w:jc w:val="right"/>
              <w:ind w:right="899"/>
              <w:spacing w:after="0"/>
              <w:rPr>
                <w:sz w:val="20"/>
                <w:szCs w:val="20"/>
                <w:color w:val="auto"/>
              </w:rPr>
            </w:pPr>
            <w:r>
              <w:rPr>
                <w:rFonts w:ascii="Arial" w:cs="Arial" w:eastAsia="Arial" w:hAnsi="Arial"/>
                <w:sz w:val="16"/>
                <w:szCs w:val="16"/>
                <w:color w:val="auto"/>
              </w:rPr>
              <w:t>458,100</w:t>
            </w:r>
          </w:p>
        </w:tc>
        <w:tc>
          <w:tcPr>
            <w:tcW w:w="840" w:type="dxa"/>
            <w:vAlign w:val="bottom"/>
            <w:shd w:val="clear" w:color="auto" w:fill="F3F3F3"/>
          </w:tcPr>
          <w:p>
            <w:pPr>
              <w:spacing w:after="0"/>
              <w:rPr>
                <w:sz w:val="20"/>
                <w:szCs w:val="20"/>
                <w:color w:val="auto"/>
              </w:rPr>
            </w:pPr>
          </w:p>
        </w:tc>
        <w:tc>
          <w:tcPr>
            <w:tcW w:w="2060" w:type="dxa"/>
            <w:vAlign w:val="bottom"/>
            <w:shd w:val="clear" w:color="auto" w:fill="F3F3F3"/>
          </w:tcPr>
          <w:p>
            <w:pPr>
              <w:spacing w:after="0"/>
              <w:rPr>
                <w:sz w:val="20"/>
                <w:szCs w:val="20"/>
                <w:color w:val="auto"/>
              </w:rPr>
            </w:pPr>
          </w:p>
        </w:tc>
        <w:tc>
          <w:tcPr>
            <w:tcW w:w="1080" w:type="dxa"/>
            <w:vAlign w:val="bottom"/>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vMerge w:val="restart"/>
            <w:shd w:val="clear" w:color="auto" w:fill="F3F3F3"/>
          </w:tcPr>
          <w:p>
            <w:pPr>
              <w:ind w:left="140"/>
              <w:spacing w:after="0"/>
              <w:rPr>
                <w:sz w:val="20"/>
                <w:szCs w:val="20"/>
                <w:color w:val="auto"/>
              </w:rPr>
            </w:pPr>
            <w:r>
              <w:rPr>
                <w:rFonts w:ascii="Arial" w:cs="Arial" w:eastAsia="Arial" w:hAnsi="Arial"/>
                <w:sz w:val="18"/>
                <w:szCs w:val="18"/>
                <w:b w:val="1"/>
                <w:bCs w:val="1"/>
                <w:color w:val="0033A0"/>
                <w:w w:val="98"/>
              </w:rPr>
              <w:t>Mr. Appleton</w:t>
            </w:r>
          </w:p>
        </w:tc>
        <w:tc>
          <w:tcPr>
            <w:tcW w:w="1420" w:type="dxa"/>
            <w:vAlign w:val="bottom"/>
            <w:shd w:val="clear" w:color="auto" w:fill="F3F3F3"/>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vMerge w:val="continue"/>
            <w:shd w:val="clear" w:color="auto" w:fill="F3F3F3"/>
          </w:tcPr>
          <w:p>
            <w:pPr>
              <w:spacing w:after="0"/>
              <w:rPr>
                <w:sz w:val="19"/>
                <w:szCs w:val="19"/>
                <w:color w:val="auto"/>
              </w:rPr>
            </w:pPr>
          </w:p>
        </w:tc>
        <w:tc>
          <w:tcPr>
            <w:tcW w:w="800" w:type="dxa"/>
            <w:vAlign w:val="bottom"/>
            <w:shd w:val="clear" w:color="auto" w:fill="F3F3F3"/>
          </w:tcPr>
          <w:p>
            <w:pPr>
              <w:spacing w:after="0"/>
              <w:rPr>
                <w:sz w:val="19"/>
                <w:szCs w:val="19"/>
                <w:color w:val="auto"/>
              </w:rPr>
            </w:pPr>
          </w:p>
        </w:tc>
        <w:tc>
          <w:tcPr>
            <w:tcW w:w="940" w:type="dxa"/>
            <w:vAlign w:val="bottom"/>
            <w:shd w:val="clear" w:color="auto" w:fill="F3F3F3"/>
          </w:tcPr>
          <w:p>
            <w:pPr>
              <w:spacing w:after="0"/>
              <w:rPr>
                <w:sz w:val="19"/>
                <w:szCs w:val="19"/>
                <w:color w:val="auto"/>
              </w:rPr>
            </w:pPr>
          </w:p>
        </w:tc>
        <w:tc>
          <w:tcPr>
            <w:tcW w:w="178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8,666</w:t>
            </w:r>
          </w:p>
        </w:tc>
        <w:tc>
          <w:tcPr>
            <w:tcW w:w="840" w:type="dxa"/>
            <w:vAlign w:val="bottom"/>
            <w:shd w:val="clear" w:color="auto" w:fill="F3F3F3"/>
          </w:tcPr>
          <w:p>
            <w:pPr>
              <w:jc w:val="right"/>
              <w:ind w:right="79"/>
              <w:spacing w:after="0"/>
              <w:rPr>
                <w:sz w:val="20"/>
                <w:szCs w:val="20"/>
                <w:color w:val="auto"/>
              </w:rPr>
            </w:pPr>
            <w:r>
              <w:rPr>
                <w:rFonts w:ascii="Arial" w:cs="Arial" w:eastAsia="Arial" w:hAnsi="Arial"/>
                <w:sz w:val="16"/>
                <w:szCs w:val="16"/>
                <w:color w:val="auto"/>
              </w:rPr>
              <w:t>17,333</w:t>
            </w:r>
          </w:p>
        </w:tc>
        <w:tc>
          <w:tcPr>
            <w:tcW w:w="2060" w:type="dxa"/>
            <w:vAlign w:val="bottom"/>
            <w:shd w:val="clear" w:color="auto" w:fill="F3F3F3"/>
          </w:tcPr>
          <w:p>
            <w:pPr>
              <w:jc w:val="right"/>
              <w:ind w:right="1259"/>
              <w:spacing w:after="0"/>
              <w:rPr>
                <w:sz w:val="20"/>
                <w:szCs w:val="20"/>
                <w:color w:val="auto"/>
              </w:rPr>
            </w:pPr>
            <w:r>
              <w:rPr>
                <w:rFonts w:ascii="Arial" w:cs="Arial" w:eastAsia="Arial" w:hAnsi="Arial"/>
                <w:sz w:val="16"/>
                <w:szCs w:val="16"/>
                <w:color w:val="auto"/>
              </w:rPr>
              <w:t>25,999</w:t>
            </w:r>
          </w:p>
        </w:tc>
        <w:tc>
          <w:tcPr>
            <w:tcW w:w="1080" w:type="dxa"/>
            <w:vAlign w:val="bottom"/>
            <w:shd w:val="clear" w:color="auto" w:fill="F3F3F3"/>
          </w:tcPr>
          <w:p>
            <w:pPr>
              <w:jc w:val="right"/>
              <w:ind w:right="39"/>
              <w:spacing w:after="0"/>
              <w:rPr>
                <w:sz w:val="20"/>
                <w:szCs w:val="20"/>
                <w:color w:val="auto"/>
              </w:rPr>
            </w:pPr>
            <w:r>
              <w:rPr>
                <w:rFonts w:ascii="Arial" w:cs="Arial" w:eastAsia="Arial" w:hAnsi="Arial"/>
                <w:sz w:val="16"/>
                <w:szCs w:val="16"/>
                <w:color w:val="auto"/>
              </w:rPr>
              <w:t>154,264</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vMerge w:val="continue"/>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Borders>
              <w:bottom w:val="single" w:sz="8" w:color="auto"/>
            </w:tcBorders>
            <w:shd w:val="clear" w:color="auto" w:fill="F3F3F3"/>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tcBorders>
              <w:bottom w:val="single" w:sz="8" w:color="auto"/>
            </w:tcBorders>
            <w:shd w:val="clear" w:color="auto" w:fill="F3F3F3"/>
          </w:tcPr>
          <w:p>
            <w:pPr>
              <w:spacing w:after="0"/>
              <w:rPr>
                <w:sz w:val="19"/>
                <w:szCs w:val="19"/>
                <w:color w:val="auto"/>
              </w:rPr>
            </w:pPr>
          </w:p>
        </w:tc>
        <w:tc>
          <w:tcPr>
            <w:tcW w:w="940" w:type="dxa"/>
            <w:vAlign w:val="bottom"/>
            <w:tcBorders>
              <w:bottom w:val="single" w:sz="8" w:color="auto"/>
            </w:tcBorders>
            <w:shd w:val="clear" w:color="auto" w:fill="F3F3F3"/>
          </w:tcPr>
          <w:p>
            <w:pPr>
              <w:spacing w:after="0"/>
              <w:rPr>
                <w:sz w:val="19"/>
                <w:szCs w:val="19"/>
                <w:color w:val="auto"/>
              </w:rPr>
            </w:pPr>
          </w:p>
        </w:tc>
        <w:tc>
          <w:tcPr>
            <w:tcW w:w="1780" w:type="dxa"/>
            <w:vAlign w:val="bottom"/>
            <w:tcBorders>
              <w:bottom w:val="single" w:sz="8" w:color="auto"/>
            </w:tcBorders>
            <w:shd w:val="clear" w:color="auto" w:fill="F3F3F3"/>
          </w:tcPr>
          <w:p>
            <w:pPr>
              <w:spacing w:after="0"/>
              <w:rPr>
                <w:sz w:val="19"/>
                <w:szCs w:val="19"/>
                <w:color w:val="auto"/>
              </w:rPr>
            </w:pPr>
          </w:p>
        </w:tc>
        <w:tc>
          <w:tcPr>
            <w:tcW w:w="840" w:type="dxa"/>
            <w:vAlign w:val="bottom"/>
            <w:tcBorders>
              <w:bottom w:val="single" w:sz="8" w:color="auto"/>
            </w:tcBorders>
            <w:shd w:val="clear" w:color="auto" w:fill="F3F3F3"/>
          </w:tcPr>
          <w:p>
            <w:pPr>
              <w:spacing w:after="0"/>
              <w:rPr>
                <w:sz w:val="19"/>
                <w:szCs w:val="19"/>
                <w:color w:val="auto"/>
              </w:rPr>
            </w:pPr>
          </w:p>
        </w:tc>
        <w:tc>
          <w:tcPr>
            <w:tcW w:w="2060" w:type="dxa"/>
            <w:vAlign w:val="bottom"/>
            <w:tcBorders>
              <w:bottom w:val="single" w:sz="8" w:color="auto"/>
            </w:tcBorders>
            <w:shd w:val="clear" w:color="auto" w:fill="F3F3F3"/>
          </w:tcPr>
          <w:p>
            <w:pPr>
              <w:jc w:val="right"/>
              <w:ind w:right="239"/>
              <w:spacing w:after="0"/>
              <w:rPr>
                <w:sz w:val="20"/>
                <w:szCs w:val="20"/>
                <w:color w:val="auto"/>
              </w:rPr>
            </w:pPr>
            <w:r>
              <w:rPr>
                <w:rFonts w:ascii="Arial" w:cs="Arial" w:eastAsia="Arial" w:hAnsi="Arial"/>
                <w:sz w:val="16"/>
                <w:szCs w:val="16"/>
                <w:color w:val="auto"/>
              </w:rPr>
              <w:t>25,998</w:t>
            </w:r>
          </w:p>
        </w:tc>
        <w:tc>
          <w:tcPr>
            <w:tcW w:w="1080" w:type="dxa"/>
            <w:vAlign w:val="bottom"/>
            <w:tcBorders>
              <w:bottom w:val="single" w:sz="8" w:color="auto"/>
            </w:tcBorders>
            <w:shd w:val="clear" w:color="auto" w:fill="F3F3F3"/>
          </w:tcPr>
          <w:p>
            <w:pPr>
              <w:jc w:val="right"/>
              <w:ind w:right="39"/>
              <w:spacing w:after="0"/>
              <w:rPr>
                <w:sz w:val="20"/>
                <w:szCs w:val="20"/>
                <w:color w:val="auto"/>
              </w:rPr>
            </w:pPr>
            <w:r>
              <w:rPr>
                <w:rFonts w:ascii="Arial" w:cs="Arial" w:eastAsia="Arial" w:hAnsi="Arial"/>
                <w:sz w:val="16"/>
                <w:szCs w:val="16"/>
                <w:color w:val="auto"/>
              </w:rPr>
              <w:t>231,382</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0"/>
              </w:rPr>
              <w:t>Short-Term</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1"/>
              </w:rPr>
              <w:t>Incentive</w:t>
            </w:r>
          </w:p>
        </w:tc>
        <w:tc>
          <w:tcPr>
            <w:tcW w:w="108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108,000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216,000</w:t>
            </w:r>
          </w:p>
        </w:tc>
        <w:tc>
          <w:tcPr>
            <w:tcW w:w="1780" w:type="dxa"/>
            <w:vAlign w:val="bottom"/>
          </w:tcPr>
          <w:p>
            <w:pPr>
              <w:jc w:val="right"/>
              <w:ind w:right="899"/>
              <w:spacing w:after="0"/>
              <w:rPr>
                <w:sz w:val="20"/>
                <w:szCs w:val="20"/>
                <w:color w:val="auto"/>
              </w:rPr>
            </w:pPr>
            <w:r>
              <w:rPr>
                <w:rFonts w:ascii="Arial" w:cs="Arial" w:eastAsia="Arial" w:hAnsi="Arial"/>
                <w:sz w:val="16"/>
                <w:szCs w:val="16"/>
                <w:color w:val="auto"/>
              </w:rPr>
              <w:t>324,000</w:t>
            </w:r>
          </w:p>
        </w:tc>
        <w:tc>
          <w:tcPr>
            <w:tcW w:w="8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vMerge w:val="restart"/>
          </w:tcPr>
          <w:p>
            <w:pPr>
              <w:ind w:left="140"/>
              <w:spacing w:after="0"/>
              <w:rPr>
                <w:sz w:val="20"/>
                <w:szCs w:val="20"/>
                <w:color w:val="auto"/>
              </w:rPr>
            </w:pPr>
            <w:r>
              <w:rPr>
                <w:rFonts w:ascii="Arial" w:cs="Arial" w:eastAsia="Arial" w:hAnsi="Arial"/>
                <w:sz w:val="18"/>
                <w:szCs w:val="18"/>
                <w:b w:val="1"/>
                <w:bCs w:val="1"/>
                <w:color w:val="0033A0"/>
              </w:rPr>
              <w:t>Ms. Tomlin</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6,372</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12,745</w:t>
            </w:r>
          </w:p>
        </w:tc>
        <w:tc>
          <w:tcPr>
            <w:tcW w:w="2060" w:type="dxa"/>
            <w:vAlign w:val="bottom"/>
          </w:tcPr>
          <w:p>
            <w:pPr>
              <w:jc w:val="right"/>
              <w:ind w:right="1259"/>
              <w:spacing w:after="0"/>
              <w:rPr>
                <w:sz w:val="20"/>
                <w:szCs w:val="20"/>
                <w:color w:val="auto"/>
              </w:rPr>
            </w:pPr>
            <w:r>
              <w:rPr>
                <w:rFonts w:ascii="Arial" w:cs="Arial" w:eastAsia="Arial" w:hAnsi="Arial"/>
                <w:sz w:val="16"/>
                <w:szCs w:val="16"/>
                <w:color w:val="auto"/>
              </w:rPr>
              <w:t>19,117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113,431</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3/17/2020</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2/24/2020</w:t>
            </w:r>
          </w:p>
        </w:tc>
        <w:tc>
          <w:tcPr>
            <w:tcW w:w="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19,116</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170,132</w:t>
            </w:r>
          </w:p>
        </w:tc>
        <w:tc>
          <w:tcPr>
            <w:tcW w:w="0" w:type="dxa"/>
            <w:vAlign w:val="bottom"/>
          </w:tcPr>
          <w:p>
            <w:pPr>
              <w:spacing w:after="0"/>
              <w:rPr>
                <w:sz w:val="1"/>
                <w:szCs w:val="1"/>
                <w:color w:val="auto"/>
              </w:rPr>
            </w:pPr>
          </w:p>
        </w:tc>
      </w:tr>
      <w:tr>
        <w:trPr>
          <w:trHeight w:val="20"/>
        </w:trPr>
        <w:tc>
          <w:tcPr>
            <w:tcW w:w="1240" w:type="dxa"/>
            <w:vAlign w:val="bottom"/>
            <w:shd w:val="clear" w:color="auto" w:fill="BFBFBF"/>
          </w:tcPr>
          <w:p>
            <w:pPr>
              <w:spacing w:after="0" w:line="20" w:lineRule="exact"/>
              <w:rPr>
                <w:sz w:val="1"/>
                <w:szCs w:val="1"/>
                <w:color w:val="auto"/>
              </w:rPr>
            </w:pPr>
          </w:p>
        </w:tc>
        <w:tc>
          <w:tcPr>
            <w:tcW w:w="1420" w:type="dxa"/>
            <w:vAlign w:val="bottom"/>
            <w:shd w:val="clear" w:color="auto" w:fill="BFBFBF"/>
          </w:tcPr>
          <w:p>
            <w:pPr>
              <w:spacing w:after="0" w:line="20" w:lineRule="exact"/>
              <w:rPr>
                <w:sz w:val="1"/>
                <w:szCs w:val="1"/>
                <w:color w:val="auto"/>
              </w:rPr>
            </w:pPr>
          </w:p>
        </w:tc>
        <w:tc>
          <w:tcPr>
            <w:tcW w:w="1080" w:type="dxa"/>
            <w:vAlign w:val="bottom"/>
            <w:shd w:val="clear" w:color="auto" w:fill="BFBFBF"/>
          </w:tcPr>
          <w:p>
            <w:pPr>
              <w:spacing w:after="0" w:line="20" w:lineRule="exact"/>
              <w:rPr>
                <w:sz w:val="1"/>
                <w:szCs w:val="1"/>
                <w:color w:val="auto"/>
              </w:rPr>
            </w:pPr>
          </w:p>
        </w:tc>
        <w:tc>
          <w:tcPr>
            <w:tcW w:w="800" w:type="dxa"/>
            <w:vAlign w:val="bottom"/>
            <w:shd w:val="clear" w:color="auto" w:fill="BFBFBF"/>
          </w:tcPr>
          <w:p>
            <w:pPr>
              <w:spacing w:after="0" w:line="20" w:lineRule="exact"/>
              <w:rPr>
                <w:sz w:val="1"/>
                <w:szCs w:val="1"/>
                <w:color w:val="auto"/>
              </w:rPr>
            </w:pPr>
          </w:p>
        </w:tc>
        <w:tc>
          <w:tcPr>
            <w:tcW w:w="940" w:type="dxa"/>
            <w:vAlign w:val="bottom"/>
            <w:shd w:val="clear" w:color="auto" w:fill="BFBFBF"/>
          </w:tcPr>
          <w:p>
            <w:pPr>
              <w:spacing w:after="0" w:line="20" w:lineRule="exact"/>
              <w:rPr>
                <w:sz w:val="1"/>
                <w:szCs w:val="1"/>
                <w:color w:val="auto"/>
              </w:rPr>
            </w:pPr>
          </w:p>
        </w:tc>
        <w:tc>
          <w:tcPr>
            <w:tcW w:w="1780" w:type="dxa"/>
            <w:vAlign w:val="bottom"/>
            <w:shd w:val="clear" w:color="auto" w:fill="BFBFBF"/>
          </w:tcPr>
          <w:p>
            <w:pPr>
              <w:spacing w:after="0" w:line="20" w:lineRule="exact"/>
              <w:rPr>
                <w:sz w:val="1"/>
                <w:szCs w:val="1"/>
                <w:color w:val="auto"/>
              </w:rPr>
            </w:pPr>
          </w:p>
        </w:tc>
        <w:tc>
          <w:tcPr>
            <w:tcW w:w="840" w:type="dxa"/>
            <w:vAlign w:val="bottom"/>
            <w:shd w:val="clear" w:color="auto" w:fill="BFBFBF"/>
          </w:tcPr>
          <w:p>
            <w:pPr>
              <w:spacing w:after="0" w:line="20" w:lineRule="exact"/>
              <w:rPr>
                <w:sz w:val="1"/>
                <w:szCs w:val="1"/>
                <w:color w:val="auto"/>
              </w:rPr>
            </w:pPr>
          </w:p>
        </w:tc>
        <w:tc>
          <w:tcPr>
            <w:tcW w:w="2060" w:type="dxa"/>
            <w:vAlign w:val="bottom"/>
            <w:shd w:val="clear" w:color="auto" w:fill="BFBFBF"/>
          </w:tcPr>
          <w:p>
            <w:pPr>
              <w:spacing w:after="0" w:line="20" w:lineRule="exact"/>
              <w:rPr>
                <w:sz w:val="1"/>
                <w:szCs w:val="1"/>
                <w:color w:val="auto"/>
              </w:rPr>
            </w:pPr>
          </w:p>
        </w:tc>
        <w:tc>
          <w:tcPr>
            <w:tcW w:w="108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260" w:hanging="252"/>
        <w:spacing w:after="0" w:line="233"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short-term incentive opportunities granted in 2020. The “Threshold,” “Target” and “Maximum” columns reflect the range of potential payouts when the performance goals were established. The threshold payout equals the percent of the target award that can be paid if all performance metrics are met at the threshold achievement level. The maximum equals 150 percent of the target award. The actual 2020 incentive award is set forth in the “Non-Equity Incentive Plan Compensation” column of the “2020 Summary Compensation Table” of this proxy statement.</w:t>
      </w:r>
    </w:p>
    <w:p>
      <w:pPr>
        <w:spacing w:after="0" w:line="76" w:lineRule="exact"/>
        <w:rPr>
          <w:rFonts w:ascii="Arial" w:cs="Arial" w:eastAsia="Arial" w:hAnsi="Arial"/>
          <w:sz w:val="14"/>
          <w:szCs w:val="14"/>
          <w:color w:val="auto"/>
        </w:rPr>
      </w:pPr>
    </w:p>
    <w:p>
      <w:pPr>
        <w:jc w:val="both"/>
        <w:ind w:left="260" w:hanging="252"/>
        <w:spacing w:after="0" w:line="238"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performance-based restricted share units granted in 2020 under the Long-Term Incentive Plan. The "Target" column reflects the payout when the performance goal was established; the threshold payout level is 50% of target and the maximum payout level is 150%. Any units earned would be subject to a four-year vesting schedule. In 2020, the performance metric resulted in a payout of 105% of the target performance shares subject to a four year vesting schedule.</w:t>
      </w:r>
    </w:p>
    <w:p>
      <w:pPr>
        <w:spacing w:after="0" w:line="74" w:lineRule="exact"/>
        <w:rPr>
          <w:rFonts w:ascii="Arial" w:cs="Arial" w:eastAsia="Arial" w:hAnsi="Arial"/>
          <w:sz w:val="14"/>
          <w:szCs w:val="14"/>
          <w:color w:val="auto"/>
        </w:rPr>
      </w:pPr>
    </w:p>
    <w:p>
      <w:pPr>
        <w:jc w:val="both"/>
        <w:ind w:left="260" w:hanging="252"/>
        <w:spacing w:after="0" w:line="238"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time-based restricted share units granted in 2020 under the Long-Term Incentive Plan. The time-based restricted share units vest in four equal, annual installments for so long as the executive remains employed by the Company. Vesting accelerates upon the executive’s termination without cause, death, disability, or retirement, or in the event of a change in control. The executives are entitled to dividend equivalents if and when dividends are paid on Class A Common Shares.</w:t>
      </w:r>
    </w:p>
    <w:p>
      <w:pPr>
        <w:spacing w:after="0" w:line="74" w:lineRule="exact"/>
        <w:rPr>
          <w:rFonts w:ascii="Arial" w:cs="Arial" w:eastAsia="Arial" w:hAnsi="Arial"/>
          <w:sz w:val="14"/>
          <w:szCs w:val="14"/>
          <w:color w:val="auto"/>
        </w:rPr>
      </w:pPr>
    </w:p>
    <w:p>
      <w:pPr>
        <w:ind w:left="260" w:hanging="252"/>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grant date fair value (market price), as determined in accordance with FASB ASC Topic 718, of each equity award listed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2020 Outstanding Equity Awards at Fiscal Year-End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information for each named executive officer with respect to each award of time-based restricted share units that had not vested and remained outstanding as of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top w:val="single" w:sz="8" w:color="BFBFBF"/>
            </w:tcBorders>
            <w:shd w:val="clear" w:color="auto" w:fill="E7E7E8"/>
          </w:tcPr>
          <w:p>
            <w:pPr>
              <w:spacing w:after="0"/>
              <w:rPr>
                <w:sz w:val="16"/>
                <w:szCs w:val="16"/>
                <w:color w:val="auto"/>
              </w:rPr>
            </w:pPr>
          </w:p>
        </w:tc>
        <w:tc>
          <w:tcPr>
            <w:tcW w:w="3680" w:type="dxa"/>
            <w:vAlign w:val="bottom"/>
            <w:tcBorders>
              <w:top w:val="single" w:sz="8" w:color="BFBFBF"/>
            </w:tcBorders>
            <w:gridSpan w:val="2"/>
            <w:shd w:val="clear" w:color="auto" w:fill="E7E7E8"/>
          </w:tcPr>
          <w:p>
            <w:pPr>
              <w:jc w:val="right"/>
              <w:ind w:right="1324"/>
              <w:spacing w:after="0"/>
              <w:rPr>
                <w:sz w:val="20"/>
                <w:szCs w:val="20"/>
                <w:color w:val="auto"/>
              </w:rPr>
            </w:pPr>
            <w:r>
              <w:rPr>
                <w:rFonts w:ascii="Arial" w:cs="Arial" w:eastAsia="Arial" w:hAnsi="Arial"/>
                <w:sz w:val="14"/>
                <w:szCs w:val="14"/>
                <w:b w:val="1"/>
                <w:bCs w:val="1"/>
                <w:color w:val="0033A0"/>
              </w:rPr>
              <w:t>Stock Awards</w:t>
            </w:r>
          </w:p>
        </w:tc>
        <w:tc>
          <w:tcPr>
            <w:tcW w:w="0" w:type="dxa"/>
            <w:vAlign w:val="bottom"/>
          </w:tcPr>
          <w:p>
            <w:pPr>
              <w:spacing w:after="0"/>
              <w:rPr>
                <w:sz w:val="1"/>
                <w:szCs w:val="1"/>
                <w:color w:val="auto"/>
              </w:rPr>
            </w:pPr>
          </w:p>
        </w:tc>
      </w:tr>
      <w:tr>
        <w:trPr>
          <w:trHeight w:val="139"/>
        </w:trPr>
        <w:tc>
          <w:tcPr>
            <w:tcW w:w="7560" w:type="dxa"/>
            <w:vAlign w:val="bottom"/>
            <w:shd w:val="clear" w:color="auto" w:fill="E7E7E8"/>
          </w:tcPr>
          <w:p>
            <w:pPr>
              <w:spacing w:after="0"/>
              <w:rPr>
                <w:sz w:val="12"/>
                <w:szCs w:val="12"/>
                <w:color w:val="auto"/>
              </w:rPr>
            </w:pPr>
          </w:p>
        </w:tc>
        <w:tc>
          <w:tcPr>
            <w:tcW w:w="1960" w:type="dxa"/>
            <w:vAlign w:val="bottom"/>
            <w:vMerge w:val="restart"/>
            <w:shd w:val="clear" w:color="auto" w:fill="E7E7E8"/>
          </w:tcPr>
          <w:p>
            <w:pPr>
              <w:jc w:val="center"/>
              <w:ind w:right="4"/>
              <w:spacing w:after="0"/>
              <w:rPr>
                <w:sz w:val="20"/>
                <w:szCs w:val="20"/>
                <w:color w:val="auto"/>
              </w:rPr>
            </w:pPr>
            <w:r>
              <w:rPr>
                <w:rFonts w:ascii="Arial" w:cs="Arial" w:eastAsia="Arial" w:hAnsi="Arial"/>
                <w:sz w:val="14"/>
                <w:szCs w:val="14"/>
                <w:b w:val="1"/>
                <w:bCs w:val="1"/>
                <w:color w:val="0033A0"/>
                <w:w w:val="92"/>
              </w:rPr>
              <w:t>Number of Shares or</w:t>
            </w:r>
          </w:p>
        </w:tc>
        <w:tc>
          <w:tcPr>
            <w:tcW w:w="1720" w:type="dxa"/>
            <w:vAlign w:val="bottom"/>
            <w:shd w:val="clear" w:color="auto" w:fill="E7E7E8"/>
          </w:tcPr>
          <w:p>
            <w:pPr>
              <w:jc w:val="center"/>
              <w:ind w:right="4"/>
              <w:spacing w:after="0" w:line="139" w:lineRule="exact"/>
              <w:rPr>
                <w:sz w:val="20"/>
                <w:szCs w:val="20"/>
                <w:color w:val="auto"/>
              </w:rPr>
            </w:pPr>
            <w:r>
              <w:rPr>
                <w:rFonts w:ascii="Arial" w:cs="Arial" w:eastAsia="Arial" w:hAnsi="Arial"/>
                <w:sz w:val="14"/>
                <w:szCs w:val="14"/>
                <w:b w:val="1"/>
                <w:bCs w:val="1"/>
                <w:color w:val="0033A0"/>
                <w:w w:val="96"/>
              </w:rPr>
              <w:t>Market Value of</w:t>
            </w:r>
          </w:p>
        </w:tc>
        <w:tc>
          <w:tcPr>
            <w:tcW w:w="0" w:type="dxa"/>
            <w:vAlign w:val="bottom"/>
          </w:tcPr>
          <w:p>
            <w:pPr>
              <w:spacing w:after="0"/>
              <w:rPr>
                <w:sz w:val="1"/>
                <w:szCs w:val="1"/>
                <w:color w:val="auto"/>
              </w:rPr>
            </w:pPr>
          </w:p>
        </w:tc>
      </w:tr>
      <w:tr>
        <w:trPr>
          <w:trHeight w:val="148"/>
        </w:trPr>
        <w:tc>
          <w:tcPr>
            <w:tcW w:w="7560" w:type="dxa"/>
            <w:vAlign w:val="bottom"/>
            <w:shd w:val="clear" w:color="auto" w:fill="E7E7E8"/>
          </w:tcPr>
          <w:p>
            <w:pPr>
              <w:spacing w:after="0"/>
              <w:rPr>
                <w:sz w:val="12"/>
                <w:szCs w:val="12"/>
                <w:color w:val="auto"/>
              </w:rPr>
            </w:pPr>
          </w:p>
        </w:tc>
        <w:tc>
          <w:tcPr>
            <w:tcW w:w="1960" w:type="dxa"/>
            <w:vAlign w:val="bottom"/>
            <w:vMerge w:val="continue"/>
            <w:shd w:val="clear" w:color="auto" w:fill="E7E7E8"/>
          </w:tcPr>
          <w:p>
            <w:pPr>
              <w:spacing w:after="0"/>
              <w:rPr>
                <w:sz w:val="12"/>
                <w:szCs w:val="12"/>
                <w:color w:val="auto"/>
              </w:rPr>
            </w:pPr>
          </w:p>
        </w:tc>
        <w:tc>
          <w:tcPr>
            <w:tcW w:w="1720" w:type="dxa"/>
            <w:vAlign w:val="bottom"/>
            <w:shd w:val="clear" w:color="auto" w:fill="E7E7E8"/>
          </w:tcPr>
          <w:p>
            <w:pPr>
              <w:jc w:val="center"/>
              <w:ind w:right="24"/>
              <w:spacing w:after="0" w:line="149" w:lineRule="exact"/>
              <w:rPr>
                <w:sz w:val="20"/>
                <w:szCs w:val="20"/>
                <w:color w:val="auto"/>
              </w:rPr>
            </w:pPr>
            <w:r>
              <w:rPr>
                <w:rFonts w:ascii="Arial" w:cs="Arial" w:eastAsia="Arial" w:hAnsi="Arial"/>
                <w:sz w:val="14"/>
                <w:szCs w:val="14"/>
                <w:b w:val="1"/>
                <w:bCs w:val="1"/>
                <w:color w:val="0033A0"/>
                <w:w w:val="91"/>
              </w:rPr>
              <w:t>Shares or Units of</w:t>
            </w:r>
          </w:p>
        </w:tc>
        <w:tc>
          <w:tcPr>
            <w:tcW w:w="0" w:type="dxa"/>
            <w:vAlign w:val="bottom"/>
          </w:tcPr>
          <w:p>
            <w:pPr>
              <w:spacing w:after="0"/>
              <w:rPr>
                <w:sz w:val="1"/>
                <w:szCs w:val="1"/>
                <w:color w:val="auto"/>
              </w:rPr>
            </w:pPr>
          </w:p>
        </w:tc>
      </w:tr>
      <w:tr>
        <w:trPr>
          <w:trHeight w:val="149"/>
        </w:trPr>
        <w:tc>
          <w:tcPr>
            <w:tcW w:w="7560" w:type="dxa"/>
            <w:vAlign w:val="bottom"/>
            <w:shd w:val="clear" w:color="auto" w:fill="E7E7E8"/>
          </w:tcPr>
          <w:p>
            <w:pPr>
              <w:spacing w:after="0"/>
              <w:rPr>
                <w:sz w:val="12"/>
                <w:szCs w:val="12"/>
                <w:color w:val="auto"/>
              </w:rPr>
            </w:pPr>
          </w:p>
        </w:tc>
        <w:tc>
          <w:tcPr>
            <w:tcW w:w="196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93"/>
              </w:rPr>
              <w:t>Units of Stock that</w:t>
            </w:r>
          </w:p>
        </w:tc>
        <w:tc>
          <w:tcPr>
            <w:tcW w:w="172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92"/>
              </w:rPr>
              <w:t>Stock that have</w:t>
            </w:r>
          </w:p>
        </w:tc>
        <w:tc>
          <w:tcPr>
            <w:tcW w:w="0" w:type="dxa"/>
            <w:vAlign w:val="bottom"/>
          </w:tcPr>
          <w:p>
            <w:pPr>
              <w:spacing w:after="0"/>
              <w:rPr>
                <w:sz w:val="1"/>
                <w:szCs w:val="1"/>
                <w:color w:val="auto"/>
              </w:rPr>
            </w:pPr>
          </w:p>
        </w:tc>
      </w:tr>
      <w:tr>
        <w:trPr>
          <w:trHeight w:val="148"/>
        </w:trPr>
        <w:tc>
          <w:tcPr>
            <w:tcW w:w="756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196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89"/>
              </w:rPr>
              <w:t>have not Vested</w:t>
            </w:r>
          </w:p>
        </w:tc>
        <w:tc>
          <w:tcPr>
            <w:tcW w:w="172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89"/>
              </w:rPr>
              <w:t>not Vested</w:t>
            </w:r>
          </w:p>
        </w:tc>
        <w:tc>
          <w:tcPr>
            <w:tcW w:w="0" w:type="dxa"/>
            <w:vAlign w:val="bottom"/>
          </w:tcPr>
          <w:p>
            <w:pPr>
              <w:spacing w:after="0"/>
              <w:rPr>
                <w:sz w:val="1"/>
                <w:szCs w:val="1"/>
                <w:color w:val="auto"/>
              </w:rPr>
            </w:pPr>
          </w:p>
        </w:tc>
      </w:tr>
      <w:tr>
        <w:trPr>
          <w:trHeight w:val="178"/>
        </w:trPr>
        <w:tc>
          <w:tcPr>
            <w:tcW w:w="7560" w:type="dxa"/>
            <w:vAlign w:val="bottom"/>
            <w:tcBorders>
              <w:bottom w:val="single" w:sz="8" w:color="BFBFBF"/>
            </w:tcBorders>
            <w:vMerge w:val="continue"/>
            <w:shd w:val="clear" w:color="auto" w:fill="E7E7E8"/>
          </w:tcPr>
          <w:p>
            <w:pPr>
              <w:spacing w:after="0"/>
              <w:rPr>
                <w:sz w:val="15"/>
                <w:szCs w:val="15"/>
                <w:color w:val="auto"/>
              </w:rPr>
            </w:pPr>
          </w:p>
        </w:tc>
        <w:tc>
          <w:tcPr>
            <w:tcW w:w="1960" w:type="dxa"/>
            <w:vAlign w:val="bottom"/>
            <w:tcBorders>
              <w:bottom w:val="single" w:sz="8" w:color="BFBFBF"/>
            </w:tcBorders>
            <w:shd w:val="clear" w:color="auto" w:fill="E7E7E8"/>
          </w:tcPr>
          <w:p>
            <w:pPr>
              <w:jc w:val="center"/>
              <w:ind w:right="4"/>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(1)</w:t>
            </w:r>
          </w:p>
        </w:tc>
        <w:tc>
          <w:tcPr>
            <w:tcW w:w="1720" w:type="dxa"/>
            <w:vAlign w:val="bottom"/>
            <w:tcBorders>
              <w:bottom w:val="single" w:sz="8" w:color="BFBFBF"/>
            </w:tcBorders>
            <w:shd w:val="clear" w:color="auto" w:fill="E7E7E8"/>
          </w:tcPr>
          <w:p>
            <w:pPr>
              <w:jc w:val="center"/>
              <w:ind w:right="4"/>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(2)</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1960" w:type="dxa"/>
            <w:vAlign w:val="bottom"/>
            <w:tcBorders>
              <w:bottom w:val="single" w:sz="8" w:color="BFBFBF"/>
            </w:tcBorders>
          </w:tcPr>
          <w:p>
            <w:pPr>
              <w:jc w:val="right"/>
              <w:ind w:right="184"/>
              <w:spacing w:after="0"/>
              <w:rPr>
                <w:sz w:val="20"/>
                <w:szCs w:val="20"/>
                <w:color w:val="auto"/>
              </w:rPr>
            </w:pPr>
            <w:r>
              <w:rPr>
                <w:rFonts w:ascii="Arial" w:cs="Arial" w:eastAsia="Arial" w:hAnsi="Arial"/>
                <w:sz w:val="16"/>
                <w:szCs w:val="16"/>
                <w:color w:val="auto"/>
              </w:rPr>
              <w:t>372,714</w:t>
            </w:r>
          </w:p>
        </w:tc>
        <w:tc>
          <w:tcPr>
            <w:tcW w:w="1720" w:type="dxa"/>
            <w:vAlign w:val="bottom"/>
            <w:tcBorders>
              <w:bottom w:val="single" w:sz="8" w:color="BFBFBF"/>
            </w:tcBorders>
          </w:tcPr>
          <w:p>
            <w:pPr>
              <w:jc w:val="right"/>
              <w:ind w:right="64"/>
              <w:spacing w:after="0"/>
              <w:rPr>
                <w:sz w:val="20"/>
                <w:szCs w:val="20"/>
                <w:color w:val="auto"/>
              </w:rPr>
            </w:pPr>
            <w:r>
              <w:rPr>
                <w:rFonts w:ascii="Arial" w:cs="Arial" w:eastAsia="Arial" w:hAnsi="Arial"/>
                <w:sz w:val="16"/>
                <w:szCs w:val="16"/>
                <w:color w:val="auto"/>
              </w:rPr>
              <w:t>5,698,797</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1960" w:type="dxa"/>
            <w:vAlign w:val="bottom"/>
            <w:tcBorders>
              <w:bottom w:val="single" w:sz="8" w:color="BFBFBF"/>
            </w:tcBorders>
            <w:shd w:val="clear" w:color="auto" w:fill="F3F3F3"/>
          </w:tcPr>
          <w:p>
            <w:pPr>
              <w:jc w:val="right"/>
              <w:ind w:right="184"/>
              <w:spacing w:after="0"/>
              <w:rPr>
                <w:sz w:val="20"/>
                <w:szCs w:val="20"/>
                <w:color w:val="auto"/>
              </w:rPr>
            </w:pPr>
            <w:r>
              <w:rPr>
                <w:rFonts w:ascii="Arial" w:cs="Arial" w:eastAsia="Arial" w:hAnsi="Arial"/>
                <w:sz w:val="16"/>
                <w:szCs w:val="16"/>
                <w:color w:val="auto"/>
              </w:rPr>
              <w:t>95,016</w:t>
            </w:r>
          </w:p>
        </w:tc>
        <w:tc>
          <w:tcPr>
            <w:tcW w:w="1720" w:type="dxa"/>
            <w:vAlign w:val="bottom"/>
            <w:tcBorders>
              <w:bottom w:val="single" w:sz="8" w:color="BFBFBF"/>
            </w:tcBorders>
            <w:shd w:val="clear" w:color="auto" w:fill="F3F3F3"/>
          </w:tcPr>
          <w:p>
            <w:pPr>
              <w:jc w:val="right"/>
              <w:ind w:right="64"/>
              <w:spacing w:after="0"/>
              <w:rPr>
                <w:sz w:val="20"/>
                <w:szCs w:val="20"/>
                <w:color w:val="auto"/>
              </w:rPr>
            </w:pPr>
            <w:r>
              <w:rPr>
                <w:rFonts w:ascii="Arial" w:cs="Arial" w:eastAsia="Arial" w:hAnsi="Arial"/>
                <w:sz w:val="16"/>
                <w:szCs w:val="16"/>
                <w:color w:val="auto"/>
              </w:rPr>
              <w:t>1,452,795</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1960" w:type="dxa"/>
            <w:vAlign w:val="bottom"/>
            <w:tcBorders>
              <w:bottom w:val="single" w:sz="8" w:color="BFBFBF"/>
            </w:tcBorders>
          </w:tcPr>
          <w:p>
            <w:pPr>
              <w:jc w:val="right"/>
              <w:ind w:right="184"/>
              <w:spacing w:after="0"/>
              <w:rPr>
                <w:sz w:val="20"/>
                <w:szCs w:val="20"/>
                <w:color w:val="auto"/>
              </w:rPr>
            </w:pPr>
            <w:r>
              <w:rPr>
                <w:rFonts w:ascii="Arial" w:cs="Arial" w:eastAsia="Arial" w:hAnsi="Arial"/>
                <w:sz w:val="16"/>
                <w:szCs w:val="16"/>
                <w:color w:val="auto"/>
              </w:rPr>
              <w:t>106,780</w:t>
            </w:r>
          </w:p>
        </w:tc>
        <w:tc>
          <w:tcPr>
            <w:tcW w:w="1720" w:type="dxa"/>
            <w:vAlign w:val="bottom"/>
            <w:tcBorders>
              <w:bottom w:val="single" w:sz="8" w:color="BFBFBF"/>
            </w:tcBorders>
          </w:tcPr>
          <w:p>
            <w:pPr>
              <w:jc w:val="right"/>
              <w:ind w:right="64"/>
              <w:spacing w:after="0"/>
              <w:rPr>
                <w:sz w:val="20"/>
                <w:szCs w:val="20"/>
                <w:color w:val="auto"/>
              </w:rPr>
            </w:pPr>
            <w:r>
              <w:rPr>
                <w:rFonts w:ascii="Arial" w:cs="Arial" w:eastAsia="Arial" w:hAnsi="Arial"/>
                <w:sz w:val="16"/>
                <w:szCs w:val="16"/>
                <w:color w:val="auto"/>
              </w:rPr>
              <w:t>1,632,666</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1960" w:type="dxa"/>
            <w:vAlign w:val="bottom"/>
            <w:tcBorders>
              <w:bottom w:val="single" w:sz="8" w:color="BFBFBF"/>
            </w:tcBorders>
            <w:shd w:val="clear" w:color="auto" w:fill="F3F3F3"/>
          </w:tcPr>
          <w:p>
            <w:pPr>
              <w:jc w:val="right"/>
              <w:ind w:right="184"/>
              <w:spacing w:after="0"/>
              <w:rPr>
                <w:sz w:val="20"/>
                <w:szCs w:val="20"/>
                <w:color w:val="auto"/>
              </w:rPr>
            </w:pPr>
            <w:r>
              <w:rPr>
                <w:rFonts w:ascii="Arial" w:cs="Arial" w:eastAsia="Arial" w:hAnsi="Arial"/>
                <w:sz w:val="16"/>
                <w:szCs w:val="16"/>
                <w:color w:val="auto"/>
              </w:rPr>
              <w:t>89,813</w:t>
            </w:r>
          </w:p>
        </w:tc>
        <w:tc>
          <w:tcPr>
            <w:tcW w:w="1720" w:type="dxa"/>
            <w:vAlign w:val="bottom"/>
            <w:tcBorders>
              <w:bottom w:val="single" w:sz="8" w:color="BFBFBF"/>
            </w:tcBorders>
            <w:shd w:val="clear" w:color="auto" w:fill="F3F3F3"/>
          </w:tcPr>
          <w:p>
            <w:pPr>
              <w:jc w:val="right"/>
              <w:ind w:right="64"/>
              <w:spacing w:after="0"/>
              <w:rPr>
                <w:sz w:val="20"/>
                <w:szCs w:val="20"/>
                <w:color w:val="auto"/>
              </w:rPr>
            </w:pPr>
            <w:r>
              <w:rPr>
                <w:rFonts w:ascii="Arial" w:cs="Arial" w:eastAsia="Arial" w:hAnsi="Arial"/>
                <w:sz w:val="16"/>
                <w:szCs w:val="16"/>
                <w:color w:val="auto"/>
              </w:rPr>
              <w:t>1,373,241</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1960" w:type="dxa"/>
            <w:vAlign w:val="bottom"/>
            <w:tcBorders>
              <w:bottom w:val="single" w:sz="8" w:color="BFBFBF"/>
            </w:tcBorders>
          </w:tcPr>
          <w:p>
            <w:pPr>
              <w:jc w:val="right"/>
              <w:ind w:right="184"/>
              <w:spacing w:after="0"/>
              <w:rPr>
                <w:sz w:val="20"/>
                <w:szCs w:val="20"/>
                <w:color w:val="auto"/>
              </w:rPr>
            </w:pPr>
            <w:r>
              <w:rPr>
                <w:rFonts w:ascii="Arial" w:cs="Arial" w:eastAsia="Arial" w:hAnsi="Arial"/>
                <w:sz w:val="16"/>
                <w:szCs w:val="16"/>
                <w:color w:val="auto"/>
              </w:rPr>
              <w:t>56,135</w:t>
            </w:r>
          </w:p>
        </w:tc>
        <w:tc>
          <w:tcPr>
            <w:tcW w:w="1720" w:type="dxa"/>
            <w:vAlign w:val="bottom"/>
            <w:tcBorders>
              <w:bottom w:val="single" w:sz="8" w:color="BFBFBF"/>
            </w:tcBorders>
          </w:tcPr>
          <w:p>
            <w:pPr>
              <w:jc w:val="right"/>
              <w:ind w:right="64"/>
              <w:spacing w:after="0"/>
              <w:rPr>
                <w:sz w:val="20"/>
                <w:szCs w:val="20"/>
                <w:color w:val="auto"/>
              </w:rPr>
            </w:pPr>
            <w:r>
              <w:rPr>
                <w:rFonts w:ascii="Arial" w:cs="Arial" w:eastAsia="Arial" w:hAnsi="Arial"/>
                <w:sz w:val="16"/>
                <w:szCs w:val="16"/>
                <w:color w:val="auto"/>
              </w:rPr>
              <w:t>858,304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right="20" w:hanging="252"/>
        <w:spacing w:after="0" w:line="25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number of time-based restricted share units for each named executive officer outstanding as of December 31, 2020. Vesting is accelerated upon a termination without cause, death, disability, retirement or change in control. The vesting dates for outstanding restricted share units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6"/>
        </w:trPr>
        <w:tc>
          <w:tcPr>
            <w:tcW w:w="1420" w:type="dxa"/>
            <w:vAlign w:val="bottom"/>
            <w:tcBorders>
              <w:top w:val="single" w:sz="8" w:color="BFBFBF"/>
            </w:tcBorders>
            <w:shd w:val="clear" w:color="auto" w:fill="E7E7E8"/>
          </w:tcPr>
          <w:p>
            <w:pPr>
              <w:spacing w:after="0"/>
              <w:rPr>
                <w:sz w:val="14"/>
                <w:szCs w:val="14"/>
                <w:color w:val="auto"/>
              </w:rPr>
            </w:pPr>
          </w:p>
        </w:tc>
        <w:tc>
          <w:tcPr>
            <w:tcW w:w="180" w:type="dxa"/>
            <w:vAlign w:val="bottom"/>
            <w:tcBorders>
              <w:top w:val="single" w:sz="8" w:color="BFBFBF"/>
            </w:tcBorders>
            <w:shd w:val="clear" w:color="auto" w:fill="E7E7E8"/>
          </w:tcPr>
          <w:p>
            <w:pPr>
              <w:spacing w:after="0"/>
              <w:rPr>
                <w:sz w:val="14"/>
                <w:szCs w:val="14"/>
                <w:color w:val="auto"/>
              </w:rPr>
            </w:pPr>
          </w:p>
        </w:tc>
        <w:tc>
          <w:tcPr>
            <w:tcW w:w="980" w:type="dxa"/>
            <w:vAlign w:val="bottom"/>
            <w:tcBorders>
              <w:top w:val="single" w:sz="8" w:color="BFBFBF"/>
            </w:tcBorders>
            <w:shd w:val="clear" w:color="auto" w:fill="E7E7E8"/>
          </w:tcPr>
          <w:p>
            <w:pPr>
              <w:spacing w:after="0"/>
              <w:rPr>
                <w:sz w:val="14"/>
                <w:szCs w:val="14"/>
                <w:color w:val="auto"/>
              </w:rPr>
            </w:pPr>
          </w:p>
        </w:tc>
        <w:tc>
          <w:tcPr>
            <w:tcW w:w="180" w:type="dxa"/>
            <w:vAlign w:val="bottom"/>
            <w:tcBorders>
              <w:top w:val="single" w:sz="8" w:color="BFBFBF"/>
            </w:tcBorders>
            <w:shd w:val="clear" w:color="auto" w:fill="E7E7E8"/>
          </w:tcPr>
          <w:p>
            <w:pPr>
              <w:spacing w:after="0"/>
              <w:rPr>
                <w:sz w:val="14"/>
                <w:szCs w:val="14"/>
                <w:color w:val="auto"/>
              </w:rPr>
            </w:pPr>
          </w:p>
        </w:tc>
        <w:tc>
          <w:tcPr>
            <w:tcW w:w="1020" w:type="dxa"/>
            <w:vAlign w:val="bottom"/>
            <w:tcBorders>
              <w:top w:val="single" w:sz="8" w:color="BFBFBF"/>
            </w:tcBorders>
            <w:shd w:val="clear" w:color="auto" w:fill="E7E7E8"/>
          </w:tcPr>
          <w:p>
            <w:pPr>
              <w:jc w:val="center"/>
              <w:ind w:right="41"/>
              <w:spacing w:after="0"/>
              <w:rPr>
                <w:sz w:val="20"/>
                <w:szCs w:val="20"/>
                <w:color w:val="auto"/>
              </w:rPr>
            </w:pPr>
            <w:r>
              <w:rPr>
                <w:rFonts w:ascii="Arial" w:cs="Arial" w:eastAsia="Arial" w:hAnsi="Arial"/>
                <w:sz w:val="14"/>
                <w:szCs w:val="14"/>
                <w:b w:val="1"/>
                <w:bCs w:val="1"/>
                <w:color w:val="0033A0"/>
                <w:w w:val="95"/>
              </w:rPr>
              <w:t>Total Number</w:t>
            </w:r>
          </w:p>
        </w:tc>
        <w:tc>
          <w:tcPr>
            <w:tcW w:w="7460" w:type="dxa"/>
            <w:vAlign w:val="bottom"/>
            <w:tcBorders>
              <w:top w:val="single" w:sz="8" w:color="BFBFBF"/>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1020" w:type="dxa"/>
            <w:vAlign w:val="bottom"/>
            <w:shd w:val="clear" w:color="auto" w:fill="E7E7E8"/>
          </w:tcPr>
          <w:p>
            <w:pPr>
              <w:jc w:val="center"/>
              <w:ind w:right="41"/>
              <w:spacing w:after="0" w:line="149" w:lineRule="exact"/>
              <w:rPr>
                <w:sz w:val="20"/>
                <w:szCs w:val="20"/>
                <w:color w:val="auto"/>
              </w:rPr>
            </w:pPr>
            <w:r>
              <w:rPr>
                <w:rFonts w:ascii="Arial" w:cs="Arial" w:eastAsia="Arial" w:hAnsi="Arial"/>
                <w:sz w:val="14"/>
                <w:szCs w:val="14"/>
                <w:b w:val="1"/>
                <w:bCs w:val="1"/>
                <w:color w:val="0033A0"/>
                <w:w w:val="91"/>
              </w:rPr>
              <w:t>of Restricted</w:t>
            </w:r>
          </w:p>
        </w:tc>
        <w:tc>
          <w:tcPr>
            <w:tcW w:w="746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180" w:type="dxa"/>
            <w:vAlign w:val="bottom"/>
            <w:shd w:val="clear" w:color="auto" w:fill="E7E7E8"/>
          </w:tcPr>
          <w:p>
            <w:pPr>
              <w:spacing w:after="0"/>
              <w:rPr>
                <w:sz w:val="12"/>
                <w:szCs w:val="12"/>
                <w:color w:val="auto"/>
              </w:rPr>
            </w:pPr>
          </w:p>
        </w:tc>
        <w:tc>
          <w:tcPr>
            <w:tcW w:w="98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Grant Date</w:t>
            </w:r>
          </w:p>
        </w:tc>
        <w:tc>
          <w:tcPr>
            <w:tcW w:w="180" w:type="dxa"/>
            <w:vAlign w:val="bottom"/>
            <w:shd w:val="clear" w:color="auto" w:fill="E7E7E8"/>
          </w:tcPr>
          <w:p>
            <w:pPr>
              <w:spacing w:after="0"/>
              <w:rPr>
                <w:sz w:val="12"/>
                <w:szCs w:val="12"/>
                <w:color w:val="auto"/>
              </w:rPr>
            </w:pPr>
          </w:p>
        </w:tc>
        <w:tc>
          <w:tcPr>
            <w:tcW w:w="1020" w:type="dxa"/>
            <w:vAlign w:val="bottom"/>
            <w:shd w:val="clear" w:color="auto" w:fill="E7E7E8"/>
          </w:tcPr>
          <w:p>
            <w:pPr>
              <w:jc w:val="center"/>
              <w:ind w:right="21"/>
              <w:spacing w:after="0" w:line="149" w:lineRule="exact"/>
              <w:rPr>
                <w:sz w:val="20"/>
                <w:szCs w:val="20"/>
                <w:color w:val="auto"/>
              </w:rPr>
            </w:pPr>
            <w:r>
              <w:rPr>
                <w:rFonts w:ascii="Arial" w:cs="Arial" w:eastAsia="Arial" w:hAnsi="Arial"/>
                <w:sz w:val="14"/>
                <w:szCs w:val="14"/>
                <w:b w:val="1"/>
                <w:bCs w:val="1"/>
                <w:color w:val="0033A0"/>
                <w:w w:val="92"/>
              </w:rPr>
              <w:t>Share Units</w:t>
            </w:r>
          </w:p>
        </w:tc>
        <w:tc>
          <w:tcPr>
            <w:tcW w:w="7460" w:type="dxa"/>
            <w:vAlign w:val="bottom"/>
            <w:vMerge w:val="restart"/>
            <w:shd w:val="clear" w:color="auto" w:fill="E7E7E8"/>
          </w:tcPr>
          <w:p>
            <w:pPr>
              <w:ind w:left="180"/>
              <w:spacing w:after="0"/>
              <w:rPr>
                <w:sz w:val="20"/>
                <w:szCs w:val="20"/>
                <w:color w:val="auto"/>
              </w:rPr>
            </w:pPr>
            <w:r>
              <w:rPr>
                <w:rFonts w:ascii="Arial" w:cs="Arial" w:eastAsia="Arial" w:hAnsi="Arial"/>
                <w:sz w:val="14"/>
                <w:szCs w:val="14"/>
                <w:b w:val="1"/>
                <w:bCs w:val="1"/>
                <w:color w:val="0033A0"/>
              </w:rPr>
              <w:t>Vesting Date</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BFBFBF"/>
            </w:tcBorders>
            <w:vMerge w:val="continue"/>
            <w:shd w:val="clear" w:color="auto" w:fill="E7E7E8"/>
          </w:tcPr>
          <w:p>
            <w:pPr>
              <w:spacing w:after="0"/>
              <w:rPr>
                <w:sz w:val="15"/>
                <w:szCs w:val="15"/>
                <w:color w:val="auto"/>
              </w:rPr>
            </w:pPr>
          </w:p>
        </w:tc>
        <w:tc>
          <w:tcPr>
            <w:tcW w:w="180" w:type="dxa"/>
            <w:vAlign w:val="bottom"/>
            <w:tcBorders>
              <w:bottom w:val="single" w:sz="8" w:color="BFBFBF"/>
            </w:tcBorders>
            <w:shd w:val="clear" w:color="auto" w:fill="E7E7E8"/>
          </w:tcPr>
          <w:p>
            <w:pPr>
              <w:spacing w:after="0"/>
              <w:rPr>
                <w:sz w:val="15"/>
                <w:szCs w:val="15"/>
                <w:color w:val="auto"/>
              </w:rPr>
            </w:pPr>
          </w:p>
        </w:tc>
        <w:tc>
          <w:tcPr>
            <w:tcW w:w="980" w:type="dxa"/>
            <w:vAlign w:val="bottom"/>
            <w:tcBorders>
              <w:bottom w:val="single" w:sz="8" w:color="BFBFBF"/>
            </w:tcBorders>
            <w:vMerge w:val="continue"/>
            <w:shd w:val="clear" w:color="auto" w:fill="E7E7E8"/>
          </w:tcPr>
          <w:p>
            <w:pPr>
              <w:spacing w:after="0"/>
              <w:rPr>
                <w:sz w:val="15"/>
                <w:szCs w:val="15"/>
                <w:color w:val="auto"/>
              </w:rPr>
            </w:pPr>
          </w:p>
        </w:tc>
        <w:tc>
          <w:tcPr>
            <w:tcW w:w="180" w:type="dxa"/>
            <w:vAlign w:val="bottom"/>
            <w:tcBorders>
              <w:bottom w:val="single" w:sz="8" w:color="BFBFBF"/>
            </w:tcBorders>
            <w:shd w:val="clear" w:color="auto" w:fill="E7E7E8"/>
          </w:tcPr>
          <w:p>
            <w:pPr>
              <w:spacing w:after="0"/>
              <w:rPr>
                <w:sz w:val="15"/>
                <w:szCs w:val="15"/>
                <w:color w:val="auto"/>
              </w:rPr>
            </w:pPr>
          </w:p>
        </w:tc>
        <w:tc>
          <w:tcPr>
            <w:tcW w:w="1020" w:type="dxa"/>
            <w:vAlign w:val="bottom"/>
            <w:tcBorders>
              <w:bottom w:val="single" w:sz="8" w:color="BFBFBF"/>
            </w:tcBorders>
            <w:shd w:val="clear" w:color="auto" w:fill="E7E7E8"/>
          </w:tcPr>
          <w:p>
            <w:pPr>
              <w:jc w:val="center"/>
              <w:ind w:right="21"/>
              <w:spacing w:after="0"/>
              <w:rPr>
                <w:sz w:val="20"/>
                <w:szCs w:val="20"/>
                <w:color w:val="auto"/>
              </w:rPr>
            </w:pPr>
            <w:r>
              <w:rPr>
                <w:rFonts w:ascii="Arial" w:cs="Arial" w:eastAsia="Arial" w:hAnsi="Arial"/>
                <w:sz w:val="14"/>
                <w:szCs w:val="14"/>
                <w:b w:val="1"/>
                <w:bCs w:val="1"/>
                <w:color w:val="0033A0"/>
                <w:w w:val="92"/>
              </w:rPr>
              <w:t>Outstanding</w:t>
            </w:r>
          </w:p>
        </w:tc>
        <w:tc>
          <w:tcPr>
            <w:tcW w:w="7460" w:type="dxa"/>
            <w:vAlign w:val="bottom"/>
            <w:tcBorders>
              <w:bottom w:val="single" w:sz="8" w:color="BFBFBF"/>
            </w:tcBorders>
            <w:vMerge w:val="continue"/>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40"/>
              <w:spacing w:after="0"/>
              <w:rPr>
                <w:sz w:val="20"/>
                <w:szCs w:val="20"/>
                <w:color w:val="auto"/>
              </w:rPr>
            </w:pPr>
            <w:r>
              <w:rPr>
                <w:rFonts w:ascii="Arial" w:cs="Arial" w:eastAsia="Arial" w:hAnsi="Arial"/>
                <w:sz w:val="18"/>
                <w:szCs w:val="18"/>
                <w:b w:val="1"/>
                <w:bCs w:val="1"/>
                <w:color w:val="0033A0"/>
              </w:rPr>
              <w:t>Mr. Symson</w:t>
            </w: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3/14/2017</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4,169</w:t>
            </w:r>
          </w:p>
        </w:tc>
        <w:tc>
          <w:tcPr>
            <w:tcW w:w="7460" w:type="dxa"/>
            <w:vAlign w:val="bottom"/>
          </w:tcPr>
          <w:p>
            <w:pPr>
              <w:ind w:left="180"/>
              <w:spacing w:after="0"/>
              <w:rPr>
                <w:sz w:val="20"/>
                <w:szCs w:val="20"/>
                <w:color w:val="auto"/>
              </w:rPr>
            </w:pPr>
            <w:r>
              <w:rPr>
                <w:rFonts w:ascii="Arial" w:cs="Arial" w:eastAsia="Arial" w:hAnsi="Arial"/>
                <w:sz w:val="16"/>
                <w:szCs w:val="16"/>
                <w:color w:val="auto"/>
              </w:rPr>
              <w:t>4,169 on 3/1/2021</w:t>
            </w: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3/14/2017</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2,696</w:t>
            </w:r>
          </w:p>
        </w:tc>
        <w:tc>
          <w:tcPr>
            <w:tcW w:w="7460" w:type="dxa"/>
            <w:vAlign w:val="bottom"/>
          </w:tcPr>
          <w:p>
            <w:pPr>
              <w:ind w:left="180"/>
              <w:spacing w:after="0"/>
              <w:rPr>
                <w:sz w:val="20"/>
                <w:szCs w:val="20"/>
                <w:color w:val="auto"/>
              </w:rPr>
            </w:pPr>
            <w:r>
              <w:rPr>
                <w:rFonts w:ascii="Arial" w:cs="Arial" w:eastAsia="Arial" w:hAnsi="Arial"/>
                <w:sz w:val="16"/>
                <w:szCs w:val="16"/>
                <w:color w:val="auto"/>
              </w:rPr>
              <w:t>2,696 on 3/1/2021</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3/8/2018</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28,131</w:t>
            </w:r>
          </w:p>
        </w:tc>
        <w:tc>
          <w:tcPr>
            <w:tcW w:w="7460" w:type="dxa"/>
            <w:vAlign w:val="bottom"/>
          </w:tcPr>
          <w:p>
            <w:pPr>
              <w:ind w:left="180"/>
              <w:spacing w:after="0"/>
              <w:rPr>
                <w:sz w:val="20"/>
                <w:szCs w:val="20"/>
                <w:color w:val="auto"/>
              </w:rPr>
            </w:pPr>
            <w:r>
              <w:rPr>
                <w:rFonts w:ascii="Arial" w:cs="Arial" w:eastAsia="Arial" w:hAnsi="Arial"/>
                <w:sz w:val="16"/>
                <w:szCs w:val="16"/>
                <w:color w:val="auto"/>
              </w:rPr>
              <w:t>14,065 on 3/1/2021; 14,066 on 3/1/2022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3/8/2018</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23,630</w:t>
            </w:r>
          </w:p>
        </w:tc>
        <w:tc>
          <w:tcPr>
            <w:tcW w:w="7460" w:type="dxa"/>
            <w:vAlign w:val="bottom"/>
          </w:tcPr>
          <w:p>
            <w:pPr>
              <w:ind w:left="180"/>
              <w:spacing w:after="0"/>
              <w:rPr>
                <w:sz w:val="20"/>
                <w:szCs w:val="20"/>
                <w:color w:val="auto"/>
              </w:rPr>
            </w:pPr>
            <w:r>
              <w:rPr>
                <w:rFonts w:ascii="Arial" w:cs="Arial" w:eastAsia="Arial" w:hAnsi="Arial"/>
                <w:sz w:val="16"/>
                <w:szCs w:val="16"/>
                <w:color w:val="auto"/>
              </w:rPr>
              <w:t>11,815 on 3/1/2021; 11,815 on 3/1/2022</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3/19/2019</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43,227</w:t>
            </w:r>
          </w:p>
        </w:tc>
        <w:tc>
          <w:tcPr>
            <w:tcW w:w="7460" w:type="dxa"/>
            <w:vAlign w:val="bottom"/>
          </w:tcPr>
          <w:p>
            <w:pPr>
              <w:ind w:left="180"/>
              <w:spacing w:after="0"/>
              <w:rPr>
                <w:sz w:val="20"/>
                <w:szCs w:val="20"/>
                <w:color w:val="auto"/>
              </w:rPr>
            </w:pPr>
            <w:r>
              <w:rPr>
                <w:rFonts w:ascii="Arial" w:cs="Arial" w:eastAsia="Arial" w:hAnsi="Arial"/>
                <w:sz w:val="16"/>
                <w:szCs w:val="16"/>
                <w:color w:val="auto"/>
              </w:rPr>
              <w:t>14,409 on 3/1/2021; 14,409 on 3/1/2022; 14,409 on 3/1/2023</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3/19/2019</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34,583</w:t>
            </w:r>
          </w:p>
        </w:tc>
        <w:tc>
          <w:tcPr>
            <w:tcW w:w="7460" w:type="dxa"/>
            <w:vAlign w:val="bottom"/>
          </w:tcPr>
          <w:p>
            <w:pPr>
              <w:ind w:left="180"/>
              <w:spacing w:after="0"/>
              <w:rPr>
                <w:sz w:val="20"/>
                <w:szCs w:val="20"/>
                <w:color w:val="auto"/>
              </w:rPr>
            </w:pPr>
            <w:r>
              <w:rPr>
                <w:rFonts w:ascii="Arial" w:cs="Arial" w:eastAsia="Arial" w:hAnsi="Arial"/>
                <w:sz w:val="16"/>
                <w:szCs w:val="16"/>
                <w:color w:val="auto"/>
              </w:rPr>
              <w:t>11,528 on 3/1/2021; 11,527 on 3/1/2022; 11,528 on 3/1/2023</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3/17/2020</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91,758</w:t>
            </w:r>
          </w:p>
        </w:tc>
        <w:tc>
          <w:tcPr>
            <w:tcW w:w="7460" w:type="dxa"/>
            <w:vAlign w:val="bottom"/>
          </w:tcPr>
          <w:p>
            <w:pPr>
              <w:ind w:left="180"/>
              <w:spacing w:after="0"/>
              <w:rPr>
                <w:sz w:val="20"/>
                <w:szCs w:val="20"/>
                <w:color w:val="auto"/>
              </w:rPr>
            </w:pPr>
            <w:r>
              <w:rPr>
                <w:rFonts w:ascii="Arial" w:cs="Arial" w:eastAsia="Arial" w:hAnsi="Arial"/>
                <w:sz w:val="16"/>
                <w:szCs w:val="16"/>
                <w:color w:val="auto"/>
              </w:rPr>
              <w:t>22,939 on 3/1/2021; 22,940 on 3/1/2022; 22,939 on 3/1/2023; 22,940 on 3/1/2024</w:t>
            </w:r>
          </w:p>
        </w:tc>
        <w:tc>
          <w:tcPr>
            <w:tcW w:w="0" w:type="dxa"/>
            <w:vAlign w:val="bottom"/>
          </w:tcPr>
          <w:p>
            <w:pPr>
              <w:spacing w:after="0"/>
              <w:rPr>
                <w:sz w:val="1"/>
                <w:szCs w:val="1"/>
                <w:color w:val="auto"/>
              </w:rPr>
            </w:pPr>
          </w:p>
        </w:tc>
      </w:tr>
      <w:tr>
        <w:trPr>
          <w:trHeight w:val="232"/>
        </w:trPr>
        <w:tc>
          <w:tcPr>
            <w:tcW w:w="14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3/17/2020</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144,520</w:t>
            </w:r>
          </w:p>
        </w:tc>
        <w:tc>
          <w:tcPr>
            <w:tcW w:w="7460" w:type="dxa"/>
            <w:vAlign w:val="bottom"/>
          </w:tcPr>
          <w:p>
            <w:pPr>
              <w:ind w:left="180"/>
              <w:spacing w:after="0"/>
              <w:rPr>
                <w:sz w:val="20"/>
                <w:szCs w:val="20"/>
                <w:color w:val="auto"/>
              </w:rPr>
            </w:pPr>
            <w:r>
              <w:rPr>
                <w:rFonts w:ascii="Arial" w:cs="Arial" w:eastAsia="Arial" w:hAnsi="Arial"/>
                <w:sz w:val="16"/>
                <w:szCs w:val="16"/>
                <w:color w:val="auto"/>
              </w:rPr>
              <w:t>36,130 on 3/1/2021; 36,130 on 3/1/2022; 36,130 on 3/1/2023; 36,130 on 3/1/2024</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9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BFBFBF"/>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372,714</w:t>
            </w:r>
          </w:p>
        </w:tc>
        <w:tc>
          <w:tcPr>
            <w:tcW w:w="7460" w:type="dxa"/>
            <w:vAlign w:val="bottom"/>
            <w:tcBorders>
              <w:bottom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20" w:type="dxa"/>
            <w:vAlign w:val="bottom"/>
            <w:shd w:val="clear" w:color="auto" w:fill="F3F3F3"/>
          </w:tcPr>
          <w:p>
            <w:pPr>
              <w:ind w:left="140"/>
              <w:spacing w:after="0" w:line="196" w:lineRule="exact"/>
              <w:rPr>
                <w:sz w:val="20"/>
                <w:szCs w:val="20"/>
                <w:color w:val="auto"/>
              </w:rPr>
            </w:pPr>
            <w:r>
              <w:rPr>
                <w:rFonts w:ascii="Arial" w:cs="Arial" w:eastAsia="Arial" w:hAnsi="Arial"/>
                <w:sz w:val="18"/>
                <w:szCs w:val="18"/>
                <w:b w:val="1"/>
                <w:bCs w:val="1"/>
                <w:color w:val="0033A0"/>
              </w:rPr>
              <w:t>Ms. Knutson</w:t>
            </w:r>
          </w:p>
        </w:tc>
        <w:tc>
          <w:tcPr>
            <w:tcW w:w="1160" w:type="dxa"/>
            <w:vAlign w:val="bottom"/>
            <w:gridSpan w:val="2"/>
            <w:shd w:val="clear" w:color="auto" w:fill="F3F3F3"/>
          </w:tcPr>
          <w:p>
            <w:pPr>
              <w:ind w:left="180"/>
              <w:spacing w:after="0"/>
              <w:rPr>
                <w:sz w:val="20"/>
                <w:szCs w:val="20"/>
                <w:color w:val="auto"/>
              </w:rPr>
            </w:pPr>
            <w:r>
              <w:rPr>
                <w:rFonts w:ascii="Arial" w:cs="Arial" w:eastAsia="Arial" w:hAnsi="Arial"/>
                <w:sz w:val="16"/>
                <w:szCs w:val="16"/>
                <w:color w:val="auto"/>
              </w:rPr>
              <w:t>3/14/2017</w:t>
            </w:r>
          </w:p>
        </w:tc>
        <w:tc>
          <w:tcPr>
            <w:tcW w:w="1200" w:type="dxa"/>
            <w:vAlign w:val="bottom"/>
            <w:gridSpan w:val="2"/>
            <w:shd w:val="clear" w:color="auto" w:fill="F3F3F3"/>
          </w:tcPr>
          <w:p>
            <w:pPr>
              <w:jc w:val="right"/>
              <w:ind w:right="41"/>
              <w:spacing w:after="0"/>
              <w:rPr>
                <w:sz w:val="20"/>
                <w:szCs w:val="20"/>
                <w:color w:val="auto"/>
              </w:rPr>
            </w:pPr>
            <w:r>
              <w:rPr>
                <w:rFonts w:ascii="Arial" w:cs="Arial" w:eastAsia="Arial" w:hAnsi="Arial"/>
                <w:sz w:val="16"/>
                <w:szCs w:val="16"/>
                <w:color w:val="auto"/>
              </w:rPr>
              <w:t>3,300</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3,300 on 3/1/2021</w:t>
            </w:r>
          </w:p>
        </w:tc>
        <w:tc>
          <w:tcPr>
            <w:tcW w:w="0" w:type="dxa"/>
            <w:vAlign w:val="bottom"/>
          </w:tcPr>
          <w:p>
            <w:pPr>
              <w:spacing w:after="0"/>
              <w:rPr>
                <w:sz w:val="1"/>
                <w:szCs w:val="1"/>
                <w:color w:val="auto"/>
              </w:rPr>
            </w:pPr>
          </w:p>
        </w:tc>
      </w:tr>
      <w:tr>
        <w:trPr>
          <w:trHeight w:val="224"/>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3/14/2017</w:t>
            </w:r>
          </w:p>
        </w:tc>
        <w:tc>
          <w:tcPr>
            <w:tcW w:w="1200" w:type="dxa"/>
            <w:vAlign w:val="bottom"/>
            <w:gridSpan w:val="2"/>
            <w:shd w:val="clear" w:color="auto" w:fill="F3F3F3"/>
          </w:tcPr>
          <w:p>
            <w:pPr>
              <w:jc w:val="right"/>
              <w:ind w:right="41"/>
              <w:spacing w:after="0"/>
              <w:rPr>
                <w:sz w:val="20"/>
                <w:szCs w:val="20"/>
                <w:color w:val="auto"/>
              </w:rPr>
            </w:pPr>
            <w:r>
              <w:rPr>
                <w:rFonts w:ascii="Arial" w:cs="Arial" w:eastAsia="Arial" w:hAnsi="Arial"/>
                <w:sz w:val="16"/>
                <w:szCs w:val="16"/>
                <w:color w:val="auto"/>
              </w:rPr>
              <w:t>2,134</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2,134 on 3/1/2021</w:t>
            </w:r>
          </w:p>
        </w:tc>
        <w:tc>
          <w:tcPr>
            <w:tcW w:w="0" w:type="dxa"/>
            <w:vAlign w:val="bottom"/>
          </w:tcPr>
          <w:p>
            <w:pPr>
              <w:spacing w:after="0"/>
              <w:rPr>
                <w:sz w:val="1"/>
                <w:szCs w:val="1"/>
                <w:color w:val="auto"/>
              </w:rPr>
            </w:pPr>
          </w:p>
        </w:tc>
      </w:tr>
      <w:tr>
        <w:trPr>
          <w:trHeight w:val="229"/>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3/8/2018</w:t>
            </w:r>
          </w:p>
        </w:tc>
        <w:tc>
          <w:tcPr>
            <w:tcW w:w="1200" w:type="dxa"/>
            <w:vAlign w:val="bottom"/>
            <w:gridSpan w:val="2"/>
            <w:shd w:val="clear" w:color="auto" w:fill="F3F3F3"/>
          </w:tcPr>
          <w:p>
            <w:pPr>
              <w:jc w:val="right"/>
              <w:ind w:right="41"/>
              <w:spacing w:after="0"/>
              <w:rPr>
                <w:sz w:val="20"/>
                <w:szCs w:val="20"/>
                <w:color w:val="auto"/>
              </w:rPr>
            </w:pPr>
            <w:r>
              <w:rPr>
                <w:rFonts w:ascii="Arial" w:cs="Arial" w:eastAsia="Arial" w:hAnsi="Arial"/>
                <w:sz w:val="16"/>
                <w:szCs w:val="16"/>
                <w:color w:val="auto"/>
              </w:rPr>
              <w:t>10,549</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5,274 on 3/1/2021; 5,275 on 3/1/2022</w:t>
            </w:r>
          </w:p>
        </w:tc>
        <w:tc>
          <w:tcPr>
            <w:tcW w:w="0" w:type="dxa"/>
            <w:vAlign w:val="bottom"/>
          </w:tcPr>
          <w:p>
            <w:pPr>
              <w:spacing w:after="0"/>
              <w:rPr>
                <w:sz w:val="1"/>
                <w:szCs w:val="1"/>
                <w:color w:val="auto"/>
              </w:rPr>
            </w:pPr>
          </w:p>
        </w:tc>
      </w:tr>
      <w:tr>
        <w:trPr>
          <w:trHeight w:val="230"/>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3/8/2018</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8,861</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4,430 on 3/1/2021; 4,431 on 3/1/2022</w:t>
            </w:r>
          </w:p>
        </w:tc>
        <w:tc>
          <w:tcPr>
            <w:tcW w:w="0" w:type="dxa"/>
            <w:vAlign w:val="bottom"/>
          </w:tcPr>
          <w:p>
            <w:pPr>
              <w:spacing w:after="0"/>
              <w:rPr>
                <w:sz w:val="1"/>
                <w:szCs w:val="1"/>
                <w:color w:val="auto"/>
              </w:rPr>
            </w:pPr>
          </w:p>
        </w:tc>
      </w:tr>
      <w:tr>
        <w:trPr>
          <w:trHeight w:val="229"/>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3/19/2019</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13,725</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4,575 on 3/1/2021; 4,575 on 3/1/2022; 4,575 on 3/1/2023</w:t>
            </w:r>
          </w:p>
        </w:tc>
        <w:tc>
          <w:tcPr>
            <w:tcW w:w="0" w:type="dxa"/>
            <w:vAlign w:val="bottom"/>
          </w:tcPr>
          <w:p>
            <w:pPr>
              <w:spacing w:after="0"/>
              <w:rPr>
                <w:sz w:val="1"/>
                <w:szCs w:val="1"/>
                <w:color w:val="auto"/>
              </w:rPr>
            </w:pPr>
          </w:p>
        </w:tc>
      </w:tr>
      <w:tr>
        <w:trPr>
          <w:trHeight w:val="229"/>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3/19/2019</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10,362</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3,042 on 3/1/2021; 3,660 on 3/1/2022; 3,660 on 3/1/2023</w:t>
            </w:r>
          </w:p>
        </w:tc>
        <w:tc>
          <w:tcPr>
            <w:tcW w:w="0" w:type="dxa"/>
            <w:vAlign w:val="bottom"/>
          </w:tcPr>
          <w:p>
            <w:pPr>
              <w:spacing w:after="0"/>
              <w:rPr>
                <w:sz w:val="1"/>
                <w:szCs w:val="1"/>
                <w:color w:val="auto"/>
              </w:rPr>
            </w:pPr>
          </w:p>
        </w:tc>
      </w:tr>
      <w:tr>
        <w:trPr>
          <w:trHeight w:val="230"/>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3/17/2020</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26,459</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5,431 on 3/1/2021; 7,009 on 3/1/2022; 7,009 on 3/1/2023; 7,010 on 3/1/2024</w:t>
            </w:r>
          </w:p>
        </w:tc>
        <w:tc>
          <w:tcPr>
            <w:tcW w:w="0" w:type="dxa"/>
            <w:vAlign w:val="bottom"/>
          </w:tcPr>
          <w:p>
            <w:pPr>
              <w:spacing w:after="0"/>
              <w:rPr>
                <w:sz w:val="1"/>
                <w:szCs w:val="1"/>
                <w:color w:val="auto"/>
              </w:rPr>
            </w:pPr>
          </w:p>
        </w:tc>
      </w:tr>
      <w:tr>
        <w:trPr>
          <w:trHeight w:val="232"/>
        </w:trPr>
        <w:tc>
          <w:tcPr>
            <w:tcW w:w="1420" w:type="dxa"/>
            <w:vAlign w:val="bottom"/>
            <w:tcBorders>
              <w:bottom w:val="single" w:sz="8" w:color="F3F3F3"/>
            </w:tcBorders>
            <w:shd w:val="clear" w:color="auto" w:fill="F3F3F3"/>
          </w:tcPr>
          <w:p>
            <w:pPr>
              <w:spacing w:after="0"/>
              <w:rPr>
                <w:sz w:val="20"/>
                <w:szCs w:val="20"/>
                <w:color w:val="auto"/>
              </w:rPr>
            </w:pPr>
          </w:p>
        </w:tc>
        <w:tc>
          <w:tcPr>
            <w:tcW w:w="180" w:type="dxa"/>
            <w:vAlign w:val="bottom"/>
            <w:tcBorders>
              <w:bottom w:val="single" w:sz="8" w:color="F3F3F3"/>
            </w:tcBorders>
            <w:shd w:val="clear" w:color="auto" w:fill="F3F3F3"/>
          </w:tcPr>
          <w:p>
            <w:pPr>
              <w:spacing w:after="0"/>
              <w:rPr>
                <w:sz w:val="20"/>
                <w:szCs w:val="20"/>
                <w:color w:val="auto"/>
              </w:rPr>
            </w:pPr>
          </w:p>
        </w:tc>
        <w:tc>
          <w:tcPr>
            <w:tcW w:w="980" w:type="dxa"/>
            <w:vAlign w:val="bottom"/>
            <w:tcBorders>
              <w:bottom w:val="single" w:sz="8" w:color="F3F3F3"/>
            </w:tcBorders>
            <w:shd w:val="clear" w:color="auto" w:fill="F3F3F3"/>
          </w:tcPr>
          <w:p>
            <w:pPr>
              <w:spacing w:after="0"/>
              <w:rPr>
                <w:sz w:val="20"/>
                <w:szCs w:val="20"/>
                <w:color w:val="auto"/>
              </w:rPr>
            </w:pPr>
            <w:r>
              <w:rPr>
                <w:rFonts w:ascii="Arial" w:cs="Arial" w:eastAsia="Arial" w:hAnsi="Arial"/>
                <w:sz w:val="16"/>
                <w:szCs w:val="16"/>
                <w:color w:val="auto"/>
              </w:rPr>
              <w:t>3/17/2020</w:t>
            </w:r>
          </w:p>
        </w:tc>
        <w:tc>
          <w:tcPr>
            <w:tcW w:w="180" w:type="dxa"/>
            <w:vAlign w:val="bottom"/>
            <w:tcBorders>
              <w:bottom w:val="single" w:sz="8" w:color="F3F3F3"/>
            </w:tcBorders>
            <w:shd w:val="clear" w:color="auto" w:fill="F3F3F3"/>
          </w:tcPr>
          <w:p>
            <w:pPr>
              <w:spacing w:after="0"/>
              <w:rPr>
                <w:sz w:val="20"/>
                <w:szCs w:val="20"/>
                <w:color w:val="auto"/>
              </w:rPr>
            </w:pPr>
          </w:p>
        </w:tc>
        <w:tc>
          <w:tcPr>
            <w:tcW w:w="1020" w:type="dxa"/>
            <w:vAlign w:val="bottom"/>
            <w:tcBorders>
              <w:bottom w:val="single" w:sz="8" w:color="auto"/>
            </w:tcBorders>
            <w:shd w:val="clear" w:color="auto" w:fill="F3F3F3"/>
          </w:tcPr>
          <w:p>
            <w:pPr>
              <w:jc w:val="right"/>
              <w:ind w:right="41"/>
              <w:spacing w:after="0"/>
              <w:rPr>
                <w:sz w:val="20"/>
                <w:szCs w:val="20"/>
                <w:color w:val="auto"/>
              </w:rPr>
            </w:pPr>
            <w:r>
              <w:rPr>
                <w:rFonts w:ascii="Arial" w:cs="Arial" w:eastAsia="Arial" w:hAnsi="Arial"/>
                <w:sz w:val="16"/>
                <w:szCs w:val="16"/>
                <w:color w:val="auto"/>
              </w:rPr>
              <w:t>19,626</w:t>
            </w:r>
          </w:p>
        </w:tc>
        <w:tc>
          <w:tcPr>
            <w:tcW w:w="7460" w:type="dxa"/>
            <w:vAlign w:val="bottom"/>
            <w:tcBorders>
              <w:bottom w:val="single" w:sz="8" w:color="F3F3F3"/>
            </w:tcBorders>
            <w:shd w:val="clear" w:color="auto" w:fill="F3F3F3"/>
          </w:tcPr>
          <w:p>
            <w:pPr>
              <w:ind w:left="180"/>
              <w:spacing w:after="0"/>
              <w:rPr>
                <w:sz w:val="20"/>
                <w:szCs w:val="20"/>
                <w:color w:val="auto"/>
              </w:rPr>
            </w:pPr>
            <w:r>
              <w:rPr>
                <w:rFonts w:ascii="Arial" w:cs="Arial" w:eastAsia="Arial" w:hAnsi="Arial"/>
                <w:sz w:val="16"/>
                <w:szCs w:val="16"/>
                <w:color w:val="auto"/>
              </w:rPr>
              <w:t>4,906 on 3/1/2021; 4,907 on 3/1/2022; 4,906 on 3/1/2023; 4,907 on 3/1/2024</w:t>
            </w:r>
          </w:p>
        </w:tc>
        <w:tc>
          <w:tcPr>
            <w:tcW w:w="0" w:type="dxa"/>
            <w:vAlign w:val="bottom"/>
          </w:tcPr>
          <w:p>
            <w:pPr>
              <w:spacing w:after="0"/>
              <w:rPr>
                <w:sz w:val="1"/>
                <w:szCs w:val="1"/>
                <w:color w:val="auto"/>
              </w:rPr>
            </w:pPr>
          </w:p>
        </w:tc>
      </w:tr>
      <w:tr>
        <w:trPr>
          <w:trHeight w:val="258"/>
        </w:trPr>
        <w:tc>
          <w:tcPr>
            <w:tcW w:w="142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F3F3F3"/>
            </w:tcBorders>
            <w:shd w:val="clear" w:color="auto" w:fill="F3F3F3"/>
          </w:tcPr>
          <w:p>
            <w:pPr>
              <w:spacing w:after="0"/>
              <w:rPr>
                <w:sz w:val="21"/>
                <w:szCs w:val="21"/>
                <w:color w:val="auto"/>
              </w:rPr>
            </w:pPr>
          </w:p>
        </w:tc>
        <w:tc>
          <w:tcPr>
            <w:tcW w:w="980" w:type="dxa"/>
            <w:vAlign w:val="bottom"/>
            <w:tcBorders>
              <w:bottom w:val="single" w:sz="8" w:color="F3F3F3"/>
            </w:tcBorders>
            <w:shd w:val="clear" w:color="auto" w:fill="F3F3F3"/>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F3F3F3"/>
            </w:tcBorders>
            <w:shd w:val="clear" w:color="auto" w:fill="F3F3F3"/>
          </w:tcPr>
          <w:p>
            <w:pPr>
              <w:spacing w:after="0"/>
              <w:rPr>
                <w:sz w:val="21"/>
                <w:szCs w:val="21"/>
                <w:color w:val="auto"/>
              </w:rPr>
            </w:pPr>
          </w:p>
        </w:tc>
        <w:tc>
          <w:tcPr>
            <w:tcW w:w="1020" w:type="dxa"/>
            <w:vAlign w:val="bottom"/>
            <w:tcBorders>
              <w:bottom w:val="single" w:sz="8" w:color="auto"/>
            </w:tcBorders>
            <w:shd w:val="clear" w:color="auto" w:fill="F3F3F3"/>
          </w:tcPr>
          <w:p>
            <w:pPr>
              <w:jc w:val="right"/>
              <w:ind w:right="41"/>
              <w:spacing w:after="0"/>
              <w:rPr>
                <w:sz w:val="20"/>
                <w:szCs w:val="20"/>
                <w:color w:val="auto"/>
              </w:rPr>
            </w:pPr>
            <w:r>
              <w:rPr>
                <w:rFonts w:ascii="Arial" w:cs="Arial" w:eastAsia="Arial" w:hAnsi="Arial"/>
                <w:sz w:val="16"/>
                <w:szCs w:val="16"/>
                <w:color w:val="auto"/>
              </w:rPr>
              <w:t>95,016</w:t>
            </w:r>
          </w:p>
        </w:tc>
        <w:tc>
          <w:tcPr>
            <w:tcW w:w="7460" w:type="dxa"/>
            <w:vAlign w:val="bottom"/>
            <w:tcBorders>
              <w:bottom w:val="single" w:sz="8" w:color="F3F3F3"/>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420" w:type="dxa"/>
            <w:vAlign w:val="bottom"/>
            <w:tcBorders>
              <w:top w:val="single" w:sz="8" w:color="BFBFBF"/>
            </w:tcBorders>
          </w:tcPr>
          <w:p>
            <w:pPr>
              <w:ind w:left="140"/>
              <w:spacing w:after="0" w:line="201" w:lineRule="exact"/>
              <w:rPr>
                <w:sz w:val="20"/>
                <w:szCs w:val="20"/>
                <w:color w:val="auto"/>
              </w:rPr>
            </w:pPr>
            <w:r>
              <w:rPr>
                <w:rFonts w:ascii="Arial" w:cs="Arial" w:eastAsia="Arial" w:hAnsi="Arial"/>
                <w:sz w:val="18"/>
                <w:szCs w:val="18"/>
                <w:b w:val="1"/>
                <w:bCs w:val="1"/>
                <w:color w:val="0033A0"/>
              </w:rPr>
              <w:t>Mr. Lawlor</w:t>
            </w:r>
          </w:p>
        </w:tc>
        <w:tc>
          <w:tcPr>
            <w:tcW w:w="1160" w:type="dxa"/>
            <w:vAlign w:val="bottom"/>
            <w:tcBorders>
              <w:top w:val="single" w:sz="8" w:color="BFBFBF"/>
            </w:tcBorders>
            <w:gridSpan w:val="2"/>
          </w:tcPr>
          <w:p>
            <w:pPr>
              <w:ind w:left="180"/>
              <w:spacing w:after="0"/>
              <w:rPr>
                <w:sz w:val="20"/>
                <w:szCs w:val="20"/>
                <w:color w:val="auto"/>
              </w:rPr>
            </w:pPr>
            <w:r>
              <w:rPr>
                <w:rFonts w:ascii="Arial" w:cs="Arial" w:eastAsia="Arial" w:hAnsi="Arial"/>
                <w:sz w:val="16"/>
                <w:szCs w:val="16"/>
                <w:color w:val="auto"/>
              </w:rPr>
              <w:t>3/14/2017</w:t>
            </w:r>
          </w:p>
        </w:tc>
        <w:tc>
          <w:tcPr>
            <w:tcW w:w="180" w:type="dxa"/>
            <w:vAlign w:val="bottom"/>
            <w:tcBorders>
              <w:top w:val="single" w:sz="8" w:color="BFBFBF"/>
            </w:tcBorders>
          </w:tcPr>
          <w:p>
            <w:pPr>
              <w:spacing w:after="0"/>
              <w:rPr>
                <w:sz w:val="17"/>
                <w:szCs w:val="17"/>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3,821</w:t>
            </w:r>
          </w:p>
        </w:tc>
        <w:tc>
          <w:tcPr>
            <w:tcW w:w="7460" w:type="dxa"/>
            <w:vAlign w:val="bottom"/>
            <w:tcBorders>
              <w:top w:val="single" w:sz="8" w:color="BFBFBF"/>
            </w:tcBorders>
          </w:tcPr>
          <w:p>
            <w:pPr>
              <w:ind w:left="180"/>
              <w:spacing w:after="0"/>
              <w:rPr>
                <w:sz w:val="20"/>
                <w:szCs w:val="20"/>
                <w:color w:val="auto"/>
              </w:rPr>
            </w:pPr>
            <w:r>
              <w:rPr>
                <w:rFonts w:ascii="Arial" w:cs="Arial" w:eastAsia="Arial" w:hAnsi="Arial"/>
                <w:sz w:val="16"/>
                <w:szCs w:val="16"/>
                <w:color w:val="auto"/>
              </w:rPr>
              <w:t>3,821 on 3/1/2021</w:t>
            </w: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3/14/2017</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2,471</w:t>
            </w:r>
          </w:p>
        </w:tc>
        <w:tc>
          <w:tcPr>
            <w:tcW w:w="7460" w:type="dxa"/>
            <w:vAlign w:val="bottom"/>
          </w:tcPr>
          <w:p>
            <w:pPr>
              <w:ind w:left="180"/>
              <w:spacing w:after="0"/>
              <w:rPr>
                <w:sz w:val="20"/>
                <w:szCs w:val="20"/>
                <w:color w:val="auto"/>
              </w:rPr>
            </w:pPr>
            <w:r>
              <w:rPr>
                <w:rFonts w:ascii="Arial" w:cs="Arial" w:eastAsia="Arial" w:hAnsi="Arial"/>
                <w:sz w:val="16"/>
                <w:szCs w:val="16"/>
                <w:color w:val="auto"/>
              </w:rPr>
              <w:t>2,471 on 3/1/2021</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3/8/2018</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11,554</w:t>
            </w:r>
          </w:p>
        </w:tc>
        <w:tc>
          <w:tcPr>
            <w:tcW w:w="7460" w:type="dxa"/>
            <w:vAlign w:val="bottom"/>
          </w:tcPr>
          <w:p>
            <w:pPr>
              <w:ind w:left="180"/>
              <w:spacing w:after="0"/>
              <w:rPr>
                <w:sz w:val="20"/>
                <w:szCs w:val="20"/>
                <w:color w:val="auto"/>
              </w:rPr>
            </w:pPr>
            <w:r>
              <w:rPr>
                <w:rFonts w:ascii="Arial" w:cs="Arial" w:eastAsia="Arial" w:hAnsi="Arial"/>
                <w:sz w:val="16"/>
                <w:szCs w:val="16"/>
                <w:color w:val="auto"/>
              </w:rPr>
              <w:t>5,777 on 3/1/2021; 5,777 on 3/1/2022</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3/8/2018</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9,705</w:t>
            </w:r>
          </w:p>
        </w:tc>
        <w:tc>
          <w:tcPr>
            <w:tcW w:w="7460" w:type="dxa"/>
            <w:vAlign w:val="bottom"/>
          </w:tcPr>
          <w:p>
            <w:pPr>
              <w:ind w:left="180"/>
              <w:spacing w:after="0"/>
              <w:rPr>
                <w:sz w:val="20"/>
                <w:szCs w:val="20"/>
                <w:color w:val="auto"/>
              </w:rPr>
            </w:pPr>
            <w:r>
              <w:rPr>
                <w:rFonts w:ascii="Arial" w:cs="Arial" w:eastAsia="Arial" w:hAnsi="Arial"/>
                <w:sz w:val="16"/>
                <w:szCs w:val="16"/>
                <w:color w:val="auto"/>
              </w:rPr>
              <w:t>4,852 on 3/1/2021; 4,853 on 3/1/2022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3/19/2019</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15,129</w:t>
            </w:r>
          </w:p>
        </w:tc>
        <w:tc>
          <w:tcPr>
            <w:tcW w:w="7460" w:type="dxa"/>
            <w:vAlign w:val="bottom"/>
          </w:tcPr>
          <w:p>
            <w:pPr>
              <w:ind w:left="180"/>
              <w:spacing w:after="0"/>
              <w:rPr>
                <w:sz w:val="20"/>
                <w:szCs w:val="20"/>
                <w:color w:val="auto"/>
              </w:rPr>
            </w:pPr>
            <w:r>
              <w:rPr>
                <w:rFonts w:ascii="Arial" w:cs="Arial" w:eastAsia="Arial" w:hAnsi="Arial"/>
                <w:sz w:val="16"/>
                <w:szCs w:val="16"/>
                <w:color w:val="auto"/>
              </w:rPr>
              <w:t>5,043 on 3/1/2021; 5,043 on 3/1/2022; 5,043 on 3/1/2023</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3/19/2019</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12,104</w:t>
            </w:r>
          </w:p>
        </w:tc>
        <w:tc>
          <w:tcPr>
            <w:tcW w:w="7460" w:type="dxa"/>
            <w:vAlign w:val="bottom"/>
          </w:tcPr>
          <w:p>
            <w:pPr>
              <w:ind w:left="180"/>
              <w:spacing w:after="0"/>
              <w:rPr>
                <w:sz w:val="20"/>
                <w:szCs w:val="20"/>
                <w:color w:val="auto"/>
              </w:rPr>
            </w:pPr>
            <w:r>
              <w:rPr>
                <w:rFonts w:ascii="Arial" w:cs="Arial" w:eastAsia="Arial" w:hAnsi="Arial"/>
                <w:sz w:val="16"/>
                <w:szCs w:val="16"/>
                <w:color w:val="auto"/>
              </w:rPr>
              <w:t>4,035 on 3/1/2021; 4,034 on 3/1/2022; 4,035 on 3/1/2023</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3/17/2020</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30,586</w:t>
            </w:r>
          </w:p>
        </w:tc>
        <w:tc>
          <w:tcPr>
            <w:tcW w:w="7460" w:type="dxa"/>
            <w:vAlign w:val="bottom"/>
          </w:tcPr>
          <w:p>
            <w:pPr>
              <w:ind w:left="180"/>
              <w:spacing w:after="0"/>
              <w:rPr>
                <w:sz w:val="20"/>
                <w:szCs w:val="20"/>
                <w:color w:val="auto"/>
              </w:rPr>
            </w:pPr>
            <w:r>
              <w:rPr>
                <w:rFonts w:ascii="Arial" w:cs="Arial" w:eastAsia="Arial" w:hAnsi="Arial"/>
                <w:sz w:val="16"/>
                <w:szCs w:val="16"/>
                <w:color w:val="auto"/>
              </w:rPr>
              <w:t>7,646 on 3/1/2021; 7,647 on 3/1/2022; 7,646 on 3/1/2023; 7,647 on 3/1/2024</w:t>
            </w: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3/17/2020</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21,410</w:t>
            </w:r>
          </w:p>
        </w:tc>
        <w:tc>
          <w:tcPr>
            <w:tcW w:w="7460" w:type="dxa"/>
            <w:vAlign w:val="bottom"/>
          </w:tcPr>
          <w:p>
            <w:pPr>
              <w:ind w:left="180"/>
              <w:spacing w:after="0"/>
              <w:rPr>
                <w:sz w:val="20"/>
                <w:szCs w:val="20"/>
                <w:color w:val="auto"/>
              </w:rPr>
            </w:pPr>
            <w:r>
              <w:rPr>
                <w:rFonts w:ascii="Arial" w:cs="Arial" w:eastAsia="Arial" w:hAnsi="Arial"/>
                <w:sz w:val="16"/>
                <w:szCs w:val="16"/>
                <w:color w:val="auto"/>
              </w:rPr>
              <w:t>5,352 on 3/1/2021; 5,353 on 3/1/2022; 5,352 on 3/1/2023; 5,353 on 3/1/2024</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9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BFBFBF"/>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106,780</w:t>
            </w:r>
          </w:p>
        </w:tc>
        <w:tc>
          <w:tcPr>
            <w:tcW w:w="7460" w:type="dxa"/>
            <w:vAlign w:val="bottom"/>
            <w:tcBorders>
              <w:bottom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20" w:type="dxa"/>
            <w:vAlign w:val="bottom"/>
            <w:shd w:val="clear" w:color="auto" w:fill="F3F3F3"/>
          </w:tcPr>
          <w:p>
            <w:pPr>
              <w:ind w:left="140"/>
              <w:spacing w:after="0" w:line="196" w:lineRule="exact"/>
              <w:rPr>
                <w:sz w:val="20"/>
                <w:szCs w:val="20"/>
                <w:color w:val="auto"/>
              </w:rPr>
            </w:pPr>
            <w:r>
              <w:rPr>
                <w:rFonts w:ascii="Arial" w:cs="Arial" w:eastAsia="Arial" w:hAnsi="Arial"/>
                <w:sz w:val="18"/>
                <w:szCs w:val="18"/>
                <w:b w:val="1"/>
                <w:bCs w:val="1"/>
                <w:color w:val="0033A0"/>
              </w:rPr>
              <w:t>Mr. Appleton</w:t>
            </w:r>
          </w:p>
        </w:tc>
        <w:tc>
          <w:tcPr>
            <w:tcW w:w="1160" w:type="dxa"/>
            <w:vAlign w:val="bottom"/>
            <w:gridSpan w:val="2"/>
            <w:shd w:val="clear" w:color="auto" w:fill="F3F3F3"/>
          </w:tcPr>
          <w:p>
            <w:pPr>
              <w:ind w:left="180"/>
              <w:spacing w:after="0"/>
              <w:rPr>
                <w:sz w:val="20"/>
                <w:szCs w:val="20"/>
                <w:color w:val="auto"/>
              </w:rPr>
            </w:pPr>
            <w:r>
              <w:rPr>
                <w:rFonts w:ascii="Arial" w:cs="Arial" w:eastAsia="Arial" w:hAnsi="Arial"/>
                <w:sz w:val="16"/>
                <w:szCs w:val="16"/>
                <w:color w:val="auto"/>
              </w:rPr>
              <w:t>3/14/2017</w:t>
            </w:r>
          </w:p>
        </w:tc>
        <w:tc>
          <w:tcPr>
            <w:tcW w:w="1200" w:type="dxa"/>
            <w:vAlign w:val="bottom"/>
            <w:gridSpan w:val="2"/>
            <w:shd w:val="clear" w:color="auto" w:fill="F3F3F3"/>
          </w:tcPr>
          <w:p>
            <w:pPr>
              <w:jc w:val="right"/>
              <w:ind w:right="41"/>
              <w:spacing w:after="0"/>
              <w:rPr>
                <w:sz w:val="20"/>
                <w:szCs w:val="20"/>
                <w:color w:val="auto"/>
              </w:rPr>
            </w:pPr>
            <w:r>
              <w:rPr>
                <w:rFonts w:ascii="Arial" w:cs="Arial" w:eastAsia="Arial" w:hAnsi="Arial"/>
                <w:sz w:val="16"/>
                <w:szCs w:val="16"/>
                <w:color w:val="auto"/>
              </w:rPr>
              <w:t>3,300</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3,300 on 3/1/2021</w:t>
            </w:r>
          </w:p>
        </w:tc>
        <w:tc>
          <w:tcPr>
            <w:tcW w:w="0" w:type="dxa"/>
            <w:vAlign w:val="bottom"/>
          </w:tcPr>
          <w:p>
            <w:pPr>
              <w:spacing w:after="0"/>
              <w:rPr>
                <w:sz w:val="1"/>
                <w:szCs w:val="1"/>
                <w:color w:val="auto"/>
              </w:rPr>
            </w:pPr>
          </w:p>
        </w:tc>
      </w:tr>
      <w:tr>
        <w:trPr>
          <w:trHeight w:val="223"/>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3/14/2017</w:t>
            </w:r>
          </w:p>
        </w:tc>
        <w:tc>
          <w:tcPr>
            <w:tcW w:w="1200" w:type="dxa"/>
            <w:vAlign w:val="bottom"/>
            <w:gridSpan w:val="2"/>
            <w:shd w:val="clear" w:color="auto" w:fill="F3F3F3"/>
          </w:tcPr>
          <w:p>
            <w:pPr>
              <w:jc w:val="right"/>
              <w:ind w:right="41"/>
              <w:spacing w:after="0"/>
              <w:rPr>
                <w:sz w:val="20"/>
                <w:szCs w:val="20"/>
                <w:color w:val="auto"/>
              </w:rPr>
            </w:pPr>
            <w:r>
              <w:rPr>
                <w:rFonts w:ascii="Arial" w:cs="Arial" w:eastAsia="Arial" w:hAnsi="Arial"/>
                <w:sz w:val="16"/>
                <w:szCs w:val="16"/>
                <w:color w:val="auto"/>
              </w:rPr>
              <w:t>2,134</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2,134 on 3/1/2021</w:t>
            </w:r>
          </w:p>
        </w:tc>
        <w:tc>
          <w:tcPr>
            <w:tcW w:w="0" w:type="dxa"/>
            <w:vAlign w:val="bottom"/>
          </w:tcPr>
          <w:p>
            <w:pPr>
              <w:spacing w:after="0"/>
              <w:rPr>
                <w:sz w:val="1"/>
                <w:szCs w:val="1"/>
                <w:color w:val="auto"/>
              </w:rPr>
            </w:pPr>
          </w:p>
        </w:tc>
      </w:tr>
      <w:tr>
        <w:trPr>
          <w:trHeight w:val="230"/>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3/8/2018</w:t>
            </w:r>
          </w:p>
        </w:tc>
        <w:tc>
          <w:tcPr>
            <w:tcW w:w="1200" w:type="dxa"/>
            <w:vAlign w:val="bottom"/>
            <w:gridSpan w:val="2"/>
            <w:shd w:val="clear" w:color="auto" w:fill="F3F3F3"/>
          </w:tcPr>
          <w:p>
            <w:pPr>
              <w:jc w:val="right"/>
              <w:ind w:right="41"/>
              <w:spacing w:after="0"/>
              <w:rPr>
                <w:sz w:val="20"/>
                <w:szCs w:val="20"/>
                <w:color w:val="auto"/>
              </w:rPr>
            </w:pPr>
            <w:r>
              <w:rPr>
                <w:rFonts w:ascii="Arial" w:cs="Arial" w:eastAsia="Arial" w:hAnsi="Arial"/>
                <w:sz w:val="16"/>
                <w:szCs w:val="16"/>
                <w:color w:val="auto"/>
              </w:rPr>
              <w:t>10,047</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5,023 on 3/1/2021; 5,024 on 3/1/2022</w:t>
            </w:r>
          </w:p>
        </w:tc>
        <w:tc>
          <w:tcPr>
            <w:tcW w:w="0" w:type="dxa"/>
            <w:vAlign w:val="bottom"/>
          </w:tcPr>
          <w:p>
            <w:pPr>
              <w:spacing w:after="0"/>
              <w:rPr>
                <w:sz w:val="1"/>
                <w:szCs w:val="1"/>
                <w:color w:val="auto"/>
              </w:rPr>
            </w:pPr>
          </w:p>
        </w:tc>
      </w:tr>
      <w:tr>
        <w:trPr>
          <w:trHeight w:val="229"/>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3/8/2018</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8,439</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4,219 on 3/1/2021; 4,220 on 3/1/2022</w:t>
            </w:r>
          </w:p>
        </w:tc>
        <w:tc>
          <w:tcPr>
            <w:tcW w:w="0" w:type="dxa"/>
            <w:vAlign w:val="bottom"/>
          </w:tcPr>
          <w:p>
            <w:pPr>
              <w:spacing w:after="0"/>
              <w:rPr>
                <w:sz w:val="1"/>
                <w:szCs w:val="1"/>
                <w:color w:val="auto"/>
              </w:rPr>
            </w:pPr>
          </w:p>
        </w:tc>
      </w:tr>
      <w:tr>
        <w:trPr>
          <w:trHeight w:val="230"/>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3/19/2019</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13,185</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4,395 on 3/1/2021; 4,395 on 3/1/2022; 4,395 on 3/1/2023</w:t>
            </w:r>
          </w:p>
        </w:tc>
        <w:tc>
          <w:tcPr>
            <w:tcW w:w="0" w:type="dxa"/>
            <w:vAlign w:val="bottom"/>
          </w:tcPr>
          <w:p>
            <w:pPr>
              <w:spacing w:after="0"/>
              <w:rPr>
                <w:sz w:val="1"/>
                <w:szCs w:val="1"/>
                <w:color w:val="auto"/>
              </w:rPr>
            </w:pPr>
          </w:p>
        </w:tc>
      </w:tr>
      <w:tr>
        <w:trPr>
          <w:trHeight w:val="230"/>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3/19/2019</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9,960</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2,928 on 3/1/2021; 3,516 on 3/1/2022; 3,516 on 3/1/2023</w:t>
            </w:r>
          </w:p>
        </w:tc>
        <w:tc>
          <w:tcPr>
            <w:tcW w:w="0" w:type="dxa"/>
            <w:vAlign w:val="bottom"/>
          </w:tcPr>
          <w:p>
            <w:pPr>
              <w:spacing w:after="0"/>
              <w:rPr>
                <w:sz w:val="1"/>
                <w:szCs w:val="1"/>
                <w:color w:val="auto"/>
              </w:rPr>
            </w:pPr>
          </w:p>
        </w:tc>
      </w:tr>
      <w:tr>
        <w:trPr>
          <w:trHeight w:val="230"/>
        </w:trPr>
        <w:tc>
          <w:tcPr>
            <w:tcW w:w="142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980" w:type="dxa"/>
            <w:vAlign w:val="bottom"/>
            <w:shd w:val="clear" w:color="auto" w:fill="F3F3F3"/>
          </w:tcPr>
          <w:p>
            <w:pPr>
              <w:spacing w:after="0"/>
              <w:rPr>
                <w:sz w:val="20"/>
                <w:szCs w:val="20"/>
                <w:color w:val="auto"/>
              </w:rPr>
            </w:pPr>
            <w:r>
              <w:rPr>
                <w:rFonts w:ascii="Arial" w:cs="Arial" w:eastAsia="Arial" w:hAnsi="Arial"/>
                <w:sz w:val="16"/>
                <w:szCs w:val="16"/>
                <w:color w:val="auto"/>
              </w:rPr>
              <w:t>3/17/2020</w:t>
            </w:r>
          </w:p>
        </w:tc>
        <w:tc>
          <w:tcPr>
            <w:tcW w:w="180" w:type="dxa"/>
            <w:vAlign w:val="bottom"/>
            <w:shd w:val="clear" w:color="auto" w:fill="F3F3F3"/>
          </w:tcPr>
          <w:p>
            <w:pPr>
              <w:spacing w:after="0"/>
              <w:rPr>
                <w:sz w:val="19"/>
                <w:szCs w:val="19"/>
                <w:color w:val="auto"/>
              </w:rPr>
            </w:pPr>
          </w:p>
        </w:tc>
        <w:tc>
          <w:tcPr>
            <w:tcW w:w="1020" w:type="dxa"/>
            <w:vAlign w:val="bottom"/>
            <w:shd w:val="clear" w:color="auto" w:fill="F3F3F3"/>
          </w:tcPr>
          <w:p>
            <w:pPr>
              <w:jc w:val="right"/>
              <w:ind w:right="41"/>
              <w:spacing w:after="0"/>
              <w:rPr>
                <w:sz w:val="20"/>
                <w:szCs w:val="20"/>
                <w:color w:val="auto"/>
              </w:rPr>
            </w:pPr>
            <w:r>
              <w:rPr>
                <w:rFonts w:ascii="Arial" w:cs="Arial" w:eastAsia="Arial" w:hAnsi="Arial"/>
                <w:sz w:val="16"/>
                <w:szCs w:val="16"/>
                <w:color w:val="auto"/>
              </w:rPr>
              <w:t>24,549</w:t>
            </w:r>
          </w:p>
        </w:tc>
        <w:tc>
          <w:tcPr>
            <w:tcW w:w="7460" w:type="dxa"/>
            <w:vAlign w:val="bottom"/>
            <w:shd w:val="clear" w:color="auto" w:fill="F3F3F3"/>
          </w:tcPr>
          <w:p>
            <w:pPr>
              <w:ind w:left="180"/>
              <w:spacing w:after="0"/>
              <w:rPr>
                <w:sz w:val="20"/>
                <w:szCs w:val="20"/>
                <w:color w:val="auto"/>
              </w:rPr>
            </w:pPr>
            <w:r>
              <w:rPr>
                <w:rFonts w:ascii="Arial" w:cs="Arial" w:eastAsia="Arial" w:hAnsi="Arial"/>
                <w:sz w:val="16"/>
                <w:szCs w:val="16"/>
                <w:color w:val="auto"/>
              </w:rPr>
              <w:t>5,050 on 3/1/2021; 6,500 on 3/1/2022; 6,499 on 3/1/2023; 6,500 on 3/1/2024</w:t>
            </w:r>
          </w:p>
        </w:tc>
        <w:tc>
          <w:tcPr>
            <w:tcW w:w="0" w:type="dxa"/>
            <w:vAlign w:val="bottom"/>
          </w:tcPr>
          <w:p>
            <w:pPr>
              <w:spacing w:after="0"/>
              <w:rPr>
                <w:sz w:val="1"/>
                <w:szCs w:val="1"/>
                <w:color w:val="auto"/>
              </w:rPr>
            </w:pPr>
          </w:p>
        </w:tc>
      </w:tr>
      <w:tr>
        <w:trPr>
          <w:trHeight w:val="233"/>
        </w:trPr>
        <w:tc>
          <w:tcPr>
            <w:tcW w:w="1420" w:type="dxa"/>
            <w:vAlign w:val="bottom"/>
            <w:tcBorders>
              <w:bottom w:val="single" w:sz="8" w:color="F3F3F3"/>
            </w:tcBorders>
            <w:shd w:val="clear" w:color="auto" w:fill="F3F3F3"/>
          </w:tcPr>
          <w:p>
            <w:pPr>
              <w:spacing w:after="0"/>
              <w:rPr>
                <w:sz w:val="20"/>
                <w:szCs w:val="20"/>
                <w:color w:val="auto"/>
              </w:rPr>
            </w:pPr>
          </w:p>
        </w:tc>
        <w:tc>
          <w:tcPr>
            <w:tcW w:w="180" w:type="dxa"/>
            <w:vAlign w:val="bottom"/>
            <w:tcBorders>
              <w:bottom w:val="single" w:sz="8" w:color="F3F3F3"/>
            </w:tcBorders>
            <w:shd w:val="clear" w:color="auto" w:fill="F3F3F3"/>
          </w:tcPr>
          <w:p>
            <w:pPr>
              <w:spacing w:after="0"/>
              <w:rPr>
                <w:sz w:val="20"/>
                <w:szCs w:val="20"/>
                <w:color w:val="auto"/>
              </w:rPr>
            </w:pPr>
          </w:p>
        </w:tc>
        <w:tc>
          <w:tcPr>
            <w:tcW w:w="980" w:type="dxa"/>
            <w:vAlign w:val="bottom"/>
            <w:tcBorders>
              <w:bottom w:val="single" w:sz="8" w:color="F3F3F3"/>
            </w:tcBorders>
            <w:shd w:val="clear" w:color="auto" w:fill="F3F3F3"/>
          </w:tcPr>
          <w:p>
            <w:pPr>
              <w:spacing w:after="0"/>
              <w:rPr>
                <w:sz w:val="20"/>
                <w:szCs w:val="20"/>
                <w:color w:val="auto"/>
              </w:rPr>
            </w:pPr>
            <w:r>
              <w:rPr>
                <w:rFonts w:ascii="Arial" w:cs="Arial" w:eastAsia="Arial" w:hAnsi="Arial"/>
                <w:sz w:val="16"/>
                <w:szCs w:val="16"/>
                <w:color w:val="auto"/>
              </w:rPr>
              <w:t>3/17/2020</w:t>
            </w:r>
          </w:p>
        </w:tc>
        <w:tc>
          <w:tcPr>
            <w:tcW w:w="180" w:type="dxa"/>
            <w:vAlign w:val="bottom"/>
            <w:tcBorders>
              <w:bottom w:val="single" w:sz="8" w:color="F3F3F3"/>
            </w:tcBorders>
            <w:shd w:val="clear" w:color="auto" w:fill="F3F3F3"/>
          </w:tcPr>
          <w:p>
            <w:pPr>
              <w:spacing w:after="0"/>
              <w:rPr>
                <w:sz w:val="20"/>
                <w:szCs w:val="20"/>
                <w:color w:val="auto"/>
              </w:rPr>
            </w:pPr>
          </w:p>
        </w:tc>
        <w:tc>
          <w:tcPr>
            <w:tcW w:w="1020" w:type="dxa"/>
            <w:vAlign w:val="bottom"/>
            <w:tcBorders>
              <w:bottom w:val="single" w:sz="8" w:color="auto"/>
            </w:tcBorders>
            <w:shd w:val="clear" w:color="auto" w:fill="F3F3F3"/>
          </w:tcPr>
          <w:p>
            <w:pPr>
              <w:jc w:val="right"/>
              <w:ind w:right="41"/>
              <w:spacing w:after="0"/>
              <w:rPr>
                <w:sz w:val="20"/>
                <w:szCs w:val="20"/>
                <w:color w:val="auto"/>
              </w:rPr>
            </w:pPr>
            <w:r>
              <w:rPr>
                <w:rFonts w:ascii="Arial" w:cs="Arial" w:eastAsia="Arial" w:hAnsi="Arial"/>
                <w:sz w:val="16"/>
                <w:szCs w:val="16"/>
                <w:color w:val="auto"/>
              </w:rPr>
              <w:t>18,199</w:t>
            </w:r>
          </w:p>
        </w:tc>
        <w:tc>
          <w:tcPr>
            <w:tcW w:w="7460" w:type="dxa"/>
            <w:vAlign w:val="bottom"/>
            <w:tcBorders>
              <w:bottom w:val="single" w:sz="8" w:color="F3F3F3"/>
            </w:tcBorders>
            <w:shd w:val="clear" w:color="auto" w:fill="F3F3F3"/>
          </w:tcPr>
          <w:p>
            <w:pPr>
              <w:ind w:left="180"/>
              <w:spacing w:after="0"/>
              <w:rPr>
                <w:sz w:val="20"/>
                <w:szCs w:val="20"/>
                <w:color w:val="auto"/>
              </w:rPr>
            </w:pPr>
            <w:r>
              <w:rPr>
                <w:rFonts w:ascii="Arial" w:cs="Arial" w:eastAsia="Arial" w:hAnsi="Arial"/>
                <w:sz w:val="16"/>
                <w:szCs w:val="16"/>
                <w:color w:val="auto"/>
              </w:rPr>
              <w:t>4,549 on 3/1/2021; 4,550 on 3/1/2022; 4,550 on 3/1/2023; 4,550 on 3/1/2024</w:t>
            </w:r>
          </w:p>
        </w:tc>
        <w:tc>
          <w:tcPr>
            <w:tcW w:w="0" w:type="dxa"/>
            <w:vAlign w:val="bottom"/>
          </w:tcPr>
          <w:p>
            <w:pPr>
              <w:spacing w:after="0"/>
              <w:rPr>
                <w:sz w:val="1"/>
                <w:szCs w:val="1"/>
                <w:color w:val="auto"/>
              </w:rPr>
            </w:pPr>
          </w:p>
        </w:tc>
      </w:tr>
      <w:tr>
        <w:trPr>
          <w:trHeight w:val="258"/>
        </w:trPr>
        <w:tc>
          <w:tcPr>
            <w:tcW w:w="142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F3F3F3"/>
            </w:tcBorders>
            <w:shd w:val="clear" w:color="auto" w:fill="F3F3F3"/>
          </w:tcPr>
          <w:p>
            <w:pPr>
              <w:spacing w:after="0"/>
              <w:rPr>
                <w:sz w:val="21"/>
                <w:szCs w:val="21"/>
                <w:color w:val="auto"/>
              </w:rPr>
            </w:pPr>
          </w:p>
        </w:tc>
        <w:tc>
          <w:tcPr>
            <w:tcW w:w="980" w:type="dxa"/>
            <w:vAlign w:val="bottom"/>
            <w:tcBorders>
              <w:bottom w:val="single" w:sz="8" w:color="F3F3F3"/>
            </w:tcBorders>
            <w:shd w:val="clear" w:color="auto" w:fill="F3F3F3"/>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F3F3F3"/>
            </w:tcBorders>
            <w:shd w:val="clear" w:color="auto" w:fill="F3F3F3"/>
          </w:tcPr>
          <w:p>
            <w:pPr>
              <w:spacing w:after="0"/>
              <w:rPr>
                <w:sz w:val="21"/>
                <w:szCs w:val="21"/>
                <w:color w:val="auto"/>
              </w:rPr>
            </w:pPr>
          </w:p>
        </w:tc>
        <w:tc>
          <w:tcPr>
            <w:tcW w:w="1020" w:type="dxa"/>
            <w:vAlign w:val="bottom"/>
            <w:tcBorders>
              <w:bottom w:val="single" w:sz="8" w:color="auto"/>
            </w:tcBorders>
            <w:shd w:val="clear" w:color="auto" w:fill="F3F3F3"/>
          </w:tcPr>
          <w:p>
            <w:pPr>
              <w:jc w:val="right"/>
              <w:ind w:right="41"/>
              <w:spacing w:after="0"/>
              <w:rPr>
                <w:sz w:val="20"/>
                <w:szCs w:val="20"/>
                <w:color w:val="auto"/>
              </w:rPr>
            </w:pPr>
            <w:r>
              <w:rPr>
                <w:rFonts w:ascii="Arial" w:cs="Arial" w:eastAsia="Arial" w:hAnsi="Arial"/>
                <w:sz w:val="16"/>
                <w:szCs w:val="16"/>
                <w:color w:val="auto"/>
              </w:rPr>
              <w:t>89,813</w:t>
            </w:r>
          </w:p>
        </w:tc>
        <w:tc>
          <w:tcPr>
            <w:tcW w:w="7460" w:type="dxa"/>
            <w:vAlign w:val="bottom"/>
            <w:tcBorders>
              <w:bottom w:val="single" w:sz="8" w:color="F3F3F3"/>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420" w:type="dxa"/>
            <w:vAlign w:val="bottom"/>
            <w:tcBorders>
              <w:top w:val="single" w:sz="8" w:color="BFBFBF"/>
            </w:tcBorders>
          </w:tcPr>
          <w:p>
            <w:pPr>
              <w:ind w:left="140"/>
              <w:spacing w:after="0" w:line="201" w:lineRule="exact"/>
              <w:rPr>
                <w:sz w:val="20"/>
                <w:szCs w:val="20"/>
                <w:color w:val="auto"/>
              </w:rPr>
            </w:pPr>
            <w:r>
              <w:rPr>
                <w:rFonts w:ascii="Arial" w:cs="Arial" w:eastAsia="Arial" w:hAnsi="Arial"/>
                <w:sz w:val="18"/>
                <w:szCs w:val="18"/>
                <w:b w:val="1"/>
                <w:bCs w:val="1"/>
                <w:color w:val="0033A0"/>
              </w:rPr>
              <w:t>Ms. Tomlin</w:t>
            </w:r>
          </w:p>
        </w:tc>
        <w:tc>
          <w:tcPr>
            <w:tcW w:w="1160" w:type="dxa"/>
            <w:vAlign w:val="bottom"/>
            <w:tcBorders>
              <w:top w:val="single" w:sz="8" w:color="BFBFBF"/>
            </w:tcBorders>
            <w:gridSpan w:val="2"/>
          </w:tcPr>
          <w:p>
            <w:pPr>
              <w:ind w:left="180"/>
              <w:spacing w:after="0"/>
              <w:rPr>
                <w:sz w:val="20"/>
                <w:szCs w:val="20"/>
                <w:color w:val="auto"/>
              </w:rPr>
            </w:pPr>
            <w:r>
              <w:rPr>
                <w:rFonts w:ascii="Arial" w:cs="Arial" w:eastAsia="Arial" w:hAnsi="Arial"/>
                <w:sz w:val="16"/>
                <w:szCs w:val="16"/>
                <w:color w:val="auto"/>
              </w:rPr>
              <w:t>3/8/2018</w:t>
            </w:r>
          </w:p>
        </w:tc>
        <w:tc>
          <w:tcPr>
            <w:tcW w:w="180" w:type="dxa"/>
            <w:vAlign w:val="bottom"/>
            <w:tcBorders>
              <w:top w:val="single" w:sz="8" w:color="BFBFBF"/>
            </w:tcBorders>
          </w:tcPr>
          <w:p>
            <w:pPr>
              <w:spacing w:after="0"/>
              <w:rPr>
                <w:sz w:val="17"/>
                <w:szCs w:val="17"/>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5,023</w:t>
            </w:r>
          </w:p>
        </w:tc>
        <w:tc>
          <w:tcPr>
            <w:tcW w:w="7460" w:type="dxa"/>
            <w:vAlign w:val="bottom"/>
            <w:tcBorders>
              <w:top w:val="single" w:sz="8" w:color="BFBFBF"/>
            </w:tcBorders>
          </w:tcPr>
          <w:p>
            <w:pPr>
              <w:ind w:left="180"/>
              <w:spacing w:after="0"/>
              <w:rPr>
                <w:sz w:val="20"/>
                <w:szCs w:val="20"/>
                <w:color w:val="auto"/>
              </w:rPr>
            </w:pPr>
            <w:r>
              <w:rPr>
                <w:rFonts w:ascii="Arial" w:cs="Arial" w:eastAsia="Arial" w:hAnsi="Arial"/>
                <w:sz w:val="16"/>
                <w:szCs w:val="16"/>
                <w:color w:val="auto"/>
              </w:rPr>
              <w:t>2,511 on 3/1/2021; 2,512 on 3/1/2022</w:t>
            </w: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3/8/2018</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4,219</w:t>
            </w:r>
          </w:p>
        </w:tc>
        <w:tc>
          <w:tcPr>
            <w:tcW w:w="7460" w:type="dxa"/>
            <w:vAlign w:val="bottom"/>
          </w:tcPr>
          <w:p>
            <w:pPr>
              <w:ind w:left="180"/>
              <w:spacing w:after="0"/>
              <w:rPr>
                <w:sz w:val="20"/>
                <w:szCs w:val="20"/>
                <w:color w:val="auto"/>
              </w:rPr>
            </w:pPr>
            <w:r>
              <w:rPr>
                <w:rFonts w:ascii="Arial" w:cs="Arial" w:eastAsia="Arial" w:hAnsi="Arial"/>
                <w:sz w:val="16"/>
                <w:szCs w:val="16"/>
                <w:color w:val="auto"/>
              </w:rPr>
              <w:t>2,109 on 3/1/2021; 2,110 on 3/1/2022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3/19/2019</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7,997</w:t>
            </w:r>
          </w:p>
        </w:tc>
        <w:tc>
          <w:tcPr>
            <w:tcW w:w="7460" w:type="dxa"/>
            <w:vAlign w:val="bottom"/>
          </w:tcPr>
          <w:p>
            <w:pPr>
              <w:ind w:left="180"/>
              <w:spacing w:after="0"/>
              <w:rPr>
                <w:sz w:val="20"/>
                <w:szCs w:val="20"/>
                <w:color w:val="auto"/>
              </w:rPr>
            </w:pPr>
            <w:r>
              <w:rPr>
                <w:rFonts w:ascii="Arial" w:cs="Arial" w:eastAsia="Arial" w:hAnsi="Arial"/>
                <w:sz w:val="16"/>
                <w:szCs w:val="16"/>
                <w:color w:val="auto"/>
              </w:rPr>
              <w:t>2,666 on 3/1/2021; 2,665 on 3/1/2022; 2,666 on 3/1/2023</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3/19/2019</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6,398</w:t>
            </w:r>
          </w:p>
        </w:tc>
        <w:tc>
          <w:tcPr>
            <w:tcW w:w="7460" w:type="dxa"/>
            <w:vAlign w:val="bottom"/>
          </w:tcPr>
          <w:p>
            <w:pPr>
              <w:ind w:left="180"/>
              <w:spacing w:after="0"/>
              <w:rPr>
                <w:sz w:val="20"/>
                <w:szCs w:val="20"/>
                <w:color w:val="auto"/>
              </w:rPr>
            </w:pPr>
            <w:r>
              <w:rPr>
                <w:rFonts w:ascii="Arial" w:cs="Arial" w:eastAsia="Arial" w:hAnsi="Arial"/>
                <w:sz w:val="16"/>
                <w:szCs w:val="16"/>
                <w:color w:val="auto"/>
              </w:rPr>
              <w:t>2,133 on 3/1/2021; 2,132 on 3/1/2022; 2,133 on 3/1/2023</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3/17/2020</w:t>
            </w:r>
          </w:p>
        </w:tc>
        <w:tc>
          <w:tcPr>
            <w:tcW w:w="1200" w:type="dxa"/>
            <w:vAlign w:val="bottom"/>
            <w:gridSpan w:val="2"/>
          </w:tcPr>
          <w:p>
            <w:pPr>
              <w:jc w:val="right"/>
              <w:ind w:right="41"/>
              <w:spacing w:after="0"/>
              <w:rPr>
                <w:sz w:val="20"/>
                <w:szCs w:val="20"/>
                <w:color w:val="auto"/>
              </w:rPr>
            </w:pPr>
            <w:r>
              <w:rPr>
                <w:rFonts w:ascii="Arial" w:cs="Arial" w:eastAsia="Arial" w:hAnsi="Arial"/>
                <w:sz w:val="16"/>
                <w:szCs w:val="16"/>
                <w:color w:val="auto"/>
              </w:rPr>
              <w:t>19,116</w:t>
            </w:r>
          </w:p>
        </w:tc>
        <w:tc>
          <w:tcPr>
            <w:tcW w:w="7460" w:type="dxa"/>
            <w:vAlign w:val="bottom"/>
          </w:tcPr>
          <w:p>
            <w:pPr>
              <w:ind w:left="180"/>
              <w:spacing w:after="0"/>
              <w:rPr>
                <w:sz w:val="20"/>
                <w:szCs w:val="20"/>
                <w:color w:val="auto"/>
              </w:rPr>
            </w:pPr>
            <w:r>
              <w:rPr>
                <w:rFonts w:ascii="Arial" w:cs="Arial" w:eastAsia="Arial" w:hAnsi="Arial"/>
                <w:sz w:val="16"/>
                <w:szCs w:val="16"/>
                <w:color w:val="auto"/>
              </w:rPr>
              <w:t>4,779 on 3/1/2021; 4,779 on 3/1/2022; 4,779 on 3/1/2023; 4,779 on 3/1/2024</w:t>
            </w: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3/17/2020</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13,382</w:t>
            </w:r>
          </w:p>
        </w:tc>
        <w:tc>
          <w:tcPr>
            <w:tcW w:w="7460" w:type="dxa"/>
            <w:vAlign w:val="bottom"/>
          </w:tcPr>
          <w:p>
            <w:pPr>
              <w:ind w:left="180"/>
              <w:spacing w:after="0"/>
              <w:rPr>
                <w:sz w:val="20"/>
                <w:szCs w:val="20"/>
                <w:color w:val="auto"/>
              </w:rPr>
            </w:pPr>
            <w:r>
              <w:rPr>
                <w:rFonts w:ascii="Arial" w:cs="Arial" w:eastAsia="Arial" w:hAnsi="Arial"/>
                <w:sz w:val="16"/>
                <w:szCs w:val="16"/>
                <w:color w:val="auto"/>
              </w:rPr>
              <w:t>3,345 on 3/1/2021; 3,346 on 3/1/2022; 3,345 on 3/1/2023; 3,346 on 3/1/2024</w:t>
            </w:r>
          </w:p>
        </w:tc>
        <w:tc>
          <w:tcPr>
            <w:tcW w:w="0" w:type="dxa"/>
            <w:vAlign w:val="bottom"/>
          </w:tcPr>
          <w:p>
            <w:pPr>
              <w:spacing w:after="0"/>
              <w:rPr>
                <w:sz w:val="1"/>
                <w:szCs w:val="1"/>
                <w:color w:val="auto"/>
              </w:rPr>
            </w:pPr>
          </w:p>
        </w:tc>
      </w:tr>
      <w:tr>
        <w:trPr>
          <w:trHeight w:val="273"/>
        </w:trPr>
        <w:tc>
          <w:tcPr>
            <w:tcW w:w="1420" w:type="dxa"/>
            <w:vAlign w:val="bottom"/>
            <w:tcBorders>
              <w:bottom w:val="single" w:sz="8" w:color="BFBFBF"/>
            </w:tcBorders>
          </w:tcPr>
          <w:p>
            <w:pPr>
              <w:spacing w:after="0"/>
              <w:rPr>
                <w:sz w:val="23"/>
                <w:szCs w:val="23"/>
                <w:color w:val="auto"/>
              </w:rPr>
            </w:pPr>
          </w:p>
        </w:tc>
        <w:tc>
          <w:tcPr>
            <w:tcW w:w="180" w:type="dxa"/>
            <w:vAlign w:val="bottom"/>
            <w:tcBorders>
              <w:bottom w:val="single" w:sz="8" w:color="BFBFBF"/>
            </w:tcBorders>
          </w:tcPr>
          <w:p>
            <w:pPr>
              <w:spacing w:after="0"/>
              <w:rPr>
                <w:sz w:val="23"/>
                <w:szCs w:val="23"/>
                <w:color w:val="auto"/>
              </w:rPr>
            </w:pPr>
          </w:p>
        </w:tc>
        <w:tc>
          <w:tcPr>
            <w:tcW w:w="9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BFBFBF"/>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56,135</w:t>
            </w:r>
          </w:p>
        </w:tc>
        <w:tc>
          <w:tcPr>
            <w:tcW w:w="7460" w:type="dxa"/>
            <w:vAlign w:val="bottom"/>
            <w:tcBorders>
              <w:bottom w:val="single" w:sz="8" w:color="BFBFB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(2) The value was calculated using the closing market price of our Class A Common Shares on December 31, 2020 ($15.29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2020 Stock Vested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each named executive officer with respect to the vesting of restricted share units during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top w:val="single" w:sz="8" w:color="BFBFBF"/>
            </w:tcBorders>
            <w:shd w:val="clear" w:color="auto" w:fill="E7E7E8"/>
          </w:tcPr>
          <w:p>
            <w:pPr>
              <w:spacing w:after="0"/>
              <w:rPr>
                <w:sz w:val="16"/>
                <w:szCs w:val="16"/>
                <w:color w:val="auto"/>
              </w:rPr>
            </w:pPr>
          </w:p>
        </w:tc>
        <w:tc>
          <w:tcPr>
            <w:tcW w:w="3680" w:type="dxa"/>
            <w:vAlign w:val="bottom"/>
            <w:tcBorders>
              <w:top w:val="single" w:sz="8" w:color="BFBFBF"/>
            </w:tcBorders>
            <w:gridSpan w:val="2"/>
            <w:shd w:val="clear" w:color="auto" w:fill="E7E7E8"/>
          </w:tcPr>
          <w:p>
            <w:pPr>
              <w:jc w:val="right"/>
              <w:ind w:right="1322"/>
              <w:spacing w:after="0"/>
              <w:rPr>
                <w:sz w:val="20"/>
                <w:szCs w:val="20"/>
                <w:color w:val="auto"/>
              </w:rPr>
            </w:pPr>
            <w:r>
              <w:rPr>
                <w:rFonts w:ascii="Arial" w:cs="Arial" w:eastAsia="Arial" w:hAnsi="Arial"/>
                <w:sz w:val="14"/>
                <w:szCs w:val="14"/>
                <w:b w:val="1"/>
                <w:bCs w:val="1"/>
                <w:color w:val="0033A0"/>
              </w:rPr>
              <w:t>Stock Awards</w:t>
            </w:r>
          </w:p>
        </w:tc>
        <w:tc>
          <w:tcPr>
            <w:tcW w:w="0" w:type="dxa"/>
            <w:vAlign w:val="bottom"/>
          </w:tcPr>
          <w:p>
            <w:pPr>
              <w:spacing w:after="0"/>
              <w:rPr>
                <w:sz w:val="1"/>
                <w:szCs w:val="1"/>
                <w:color w:val="auto"/>
              </w:rPr>
            </w:pPr>
          </w:p>
        </w:tc>
      </w:tr>
      <w:tr>
        <w:trPr>
          <w:trHeight w:val="139"/>
        </w:trPr>
        <w:tc>
          <w:tcPr>
            <w:tcW w:w="7560" w:type="dxa"/>
            <w:vAlign w:val="bottom"/>
            <w:shd w:val="clear" w:color="auto" w:fill="E7E7E8"/>
          </w:tcPr>
          <w:p>
            <w:pPr>
              <w:spacing w:after="0"/>
              <w:rPr>
                <w:sz w:val="12"/>
                <w:szCs w:val="12"/>
                <w:color w:val="auto"/>
              </w:rPr>
            </w:pPr>
          </w:p>
        </w:tc>
        <w:tc>
          <w:tcPr>
            <w:tcW w:w="1960" w:type="dxa"/>
            <w:vAlign w:val="bottom"/>
            <w:shd w:val="clear" w:color="auto" w:fill="E7E7E8"/>
          </w:tcPr>
          <w:p>
            <w:pPr>
              <w:jc w:val="center"/>
              <w:ind w:right="3"/>
              <w:spacing w:after="0" w:line="139" w:lineRule="exact"/>
              <w:rPr>
                <w:sz w:val="20"/>
                <w:szCs w:val="20"/>
                <w:color w:val="auto"/>
              </w:rPr>
            </w:pPr>
            <w:r>
              <w:rPr>
                <w:rFonts w:ascii="Arial" w:cs="Arial" w:eastAsia="Arial" w:hAnsi="Arial"/>
                <w:sz w:val="14"/>
                <w:szCs w:val="14"/>
                <w:b w:val="1"/>
                <w:bCs w:val="1"/>
                <w:color w:val="0033A0"/>
                <w:w w:val="92"/>
              </w:rPr>
              <w:t>Number of Shares</w:t>
            </w:r>
          </w:p>
        </w:tc>
        <w:tc>
          <w:tcPr>
            <w:tcW w:w="1720" w:type="dxa"/>
            <w:vAlign w:val="bottom"/>
            <w:shd w:val="clear" w:color="auto" w:fill="E7E7E8"/>
          </w:tcPr>
          <w:p>
            <w:pPr>
              <w:jc w:val="center"/>
              <w:ind w:right="22"/>
              <w:spacing w:after="0" w:line="139" w:lineRule="exact"/>
              <w:rPr>
                <w:sz w:val="20"/>
                <w:szCs w:val="20"/>
                <w:color w:val="auto"/>
              </w:rPr>
            </w:pPr>
            <w:r>
              <w:rPr>
                <w:rFonts w:ascii="Arial" w:cs="Arial" w:eastAsia="Arial" w:hAnsi="Arial"/>
                <w:sz w:val="14"/>
                <w:szCs w:val="14"/>
                <w:b w:val="1"/>
                <w:bCs w:val="1"/>
                <w:color w:val="0033A0"/>
                <w:w w:val="92"/>
              </w:rPr>
              <w:t>Value Realized on</w:t>
            </w:r>
          </w:p>
        </w:tc>
        <w:tc>
          <w:tcPr>
            <w:tcW w:w="0" w:type="dxa"/>
            <w:vAlign w:val="bottom"/>
          </w:tcPr>
          <w:p>
            <w:pPr>
              <w:spacing w:after="0"/>
              <w:rPr>
                <w:sz w:val="1"/>
                <w:szCs w:val="1"/>
                <w:color w:val="auto"/>
              </w:rPr>
            </w:pPr>
          </w:p>
        </w:tc>
      </w:tr>
      <w:tr>
        <w:trPr>
          <w:trHeight w:val="148"/>
        </w:trPr>
        <w:tc>
          <w:tcPr>
            <w:tcW w:w="756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1960" w:type="dxa"/>
            <w:vAlign w:val="bottom"/>
            <w:shd w:val="clear" w:color="auto" w:fill="E7E7E8"/>
          </w:tcPr>
          <w:p>
            <w:pPr>
              <w:jc w:val="center"/>
              <w:ind w:right="3"/>
              <w:spacing w:after="0" w:line="149" w:lineRule="exact"/>
              <w:rPr>
                <w:sz w:val="20"/>
                <w:szCs w:val="20"/>
                <w:color w:val="auto"/>
              </w:rPr>
            </w:pPr>
            <w:r>
              <w:rPr>
                <w:rFonts w:ascii="Arial" w:cs="Arial" w:eastAsia="Arial" w:hAnsi="Arial"/>
                <w:sz w:val="14"/>
                <w:szCs w:val="14"/>
                <w:b w:val="1"/>
                <w:bCs w:val="1"/>
                <w:color w:val="0033A0"/>
                <w:w w:val="92"/>
              </w:rPr>
              <w:t>Acquired on</w:t>
            </w:r>
          </w:p>
        </w:tc>
        <w:tc>
          <w:tcPr>
            <w:tcW w:w="1720" w:type="dxa"/>
            <w:vAlign w:val="bottom"/>
            <w:shd w:val="clear" w:color="auto" w:fill="E7E7E8"/>
          </w:tcPr>
          <w:p>
            <w:pPr>
              <w:jc w:val="center"/>
              <w:ind w:right="2"/>
              <w:spacing w:after="0" w:line="149" w:lineRule="exact"/>
              <w:rPr>
                <w:sz w:val="20"/>
                <w:szCs w:val="20"/>
                <w:color w:val="auto"/>
              </w:rPr>
            </w:pPr>
            <w:r>
              <w:rPr>
                <w:rFonts w:ascii="Arial" w:cs="Arial" w:eastAsia="Arial" w:hAnsi="Arial"/>
                <w:sz w:val="14"/>
                <w:szCs w:val="14"/>
                <w:b w:val="1"/>
                <w:bCs w:val="1"/>
                <w:color w:val="0033A0"/>
                <w:w w:val="86"/>
              </w:rPr>
              <w:t>Vesting</w:t>
            </w:r>
          </w:p>
        </w:tc>
        <w:tc>
          <w:tcPr>
            <w:tcW w:w="0" w:type="dxa"/>
            <w:vAlign w:val="bottom"/>
          </w:tcPr>
          <w:p>
            <w:pPr>
              <w:spacing w:after="0"/>
              <w:rPr>
                <w:sz w:val="1"/>
                <w:szCs w:val="1"/>
                <w:color w:val="auto"/>
              </w:rPr>
            </w:pPr>
          </w:p>
        </w:tc>
      </w:tr>
      <w:tr>
        <w:trPr>
          <w:trHeight w:val="178"/>
        </w:trPr>
        <w:tc>
          <w:tcPr>
            <w:tcW w:w="7560" w:type="dxa"/>
            <w:vAlign w:val="bottom"/>
            <w:tcBorders>
              <w:bottom w:val="single" w:sz="8" w:color="BFBFBF"/>
            </w:tcBorders>
            <w:vMerge w:val="continue"/>
            <w:shd w:val="clear" w:color="auto" w:fill="E7E7E8"/>
          </w:tcPr>
          <w:p>
            <w:pPr>
              <w:spacing w:after="0"/>
              <w:rPr>
                <w:sz w:val="15"/>
                <w:szCs w:val="15"/>
                <w:color w:val="auto"/>
              </w:rPr>
            </w:pPr>
          </w:p>
        </w:tc>
        <w:tc>
          <w:tcPr>
            <w:tcW w:w="1960" w:type="dxa"/>
            <w:vAlign w:val="bottom"/>
            <w:tcBorders>
              <w:bottom w:val="single" w:sz="8" w:color="BFBFBF"/>
            </w:tcBorders>
            <w:shd w:val="clear" w:color="auto" w:fill="E7E7E8"/>
          </w:tcPr>
          <w:p>
            <w:pPr>
              <w:jc w:val="center"/>
              <w:ind w:right="3"/>
              <w:spacing w:after="0"/>
              <w:rPr>
                <w:sz w:val="20"/>
                <w:szCs w:val="20"/>
                <w:color w:val="auto"/>
              </w:rPr>
            </w:pPr>
            <w:r>
              <w:rPr>
                <w:rFonts w:ascii="Arial" w:cs="Arial" w:eastAsia="Arial" w:hAnsi="Arial"/>
                <w:sz w:val="14"/>
                <w:szCs w:val="14"/>
                <w:b w:val="1"/>
                <w:bCs w:val="1"/>
                <w:color w:val="0033A0"/>
                <w:w w:val="89"/>
              </w:rPr>
              <w:t>Vesting (#)</w:t>
            </w:r>
          </w:p>
        </w:tc>
        <w:tc>
          <w:tcPr>
            <w:tcW w:w="1720" w:type="dxa"/>
            <w:vAlign w:val="bottom"/>
            <w:tcBorders>
              <w:bottom w:val="single" w:sz="8" w:color="BFBFBF"/>
            </w:tcBorders>
            <w:shd w:val="clear" w:color="auto" w:fill="E7E7E8"/>
          </w:tcPr>
          <w:p>
            <w:pPr>
              <w:jc w:val="center"/>
              <w:ind w:right="2"/>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(1)</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1960" w:type="dxa"/>
            <w:vAlign w:val="bottom"/>
            <w:tcBorders>
              <w:bottom w:val="single" w:sz="8" w:color="BFBFBF"/>
            </w:tcBorders>
          </w:tcPr>
          <w:p>
            <w:pPr>
              <w:jc w:val="right"/>
              <w:ind w:right="183"/>
              <w:spacing w:after="0"/>
              <w:rPr>
                <w:sz w:val="20"/>
                <w:szCs w:val="20"/>
                <w:color w:val="auto"/>
              </w:rPr>
            </w:pPr>
            <w:r>
              <w:rPr>
                <w:rFonts w:ascii="Arial" w:cs="Arial" w:eastAsia="Arial" w:hAnsi="Arial"/>
                <w:sz w:val="16"/>
                <w:szCs w:val="16"/>
                <w:color w:val="auto"/>
              </w:rPr>
              <w:t>63,341</w:t>
            </w:r>
          </w:p>
        </w:tc>
        <w:tc>
          <w:tcPr>
            <w:tcW w:w="1720" w:type="dxa"/>
            <w:vAlign w:val="bottom"/>
            <w:tcBorders>
              <w:bottom w:val="single" w:sz="8" w:color="BFBFBF"/>
            </w:tcBorders>
          </w:tcPr>
          <w:p>
            <w:pPr>
              <w:jc w:val="right"/>
              <w:ind w:right="62"/>
              <w:spacing w:after="0"/>
              <w:rPr>
                <w:sz w:val="20"/>
                <w:szCs w:val="20"/>
                <w:color w:val="auto"/>
              </w:rPr>
            </w:pPr>
            <w:r>
              <w:rPr>
                <w:rFonts w:ascii="Arial" w:cs="Arial" w:eastAsia="Arial" w:hAnsi="Arial"/>
                <w:sz w:val="16"/>
                <w:szCs w:val="16"/>
                <w:color w:val="auto"/>
              </w:rPr>
              <w:t>741,266</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1960" w:type="dxa"/>
            <w:vAlign w:val="bottom"/>
            <w:tcBorders>
              <w:bottom w:val="single" w:sz="8" w:color="BFBFBF"/>
            </w:tcBorders>
            <w:shd w:val="clear" w:color="auto" w:fill="F3F3F3"/>
          </w:tcPr>
          <w:p>
            <w:pPr>
              <w:jc w:val="right"/>
              <w:ind w:right="183"/>
              <w:spacing w:after="0"/>
              <w:rPr>
                <w:sz w:val="20"/>
                <w:szCs w:val="20"/>
                <w:color w:val="auto"/>
              </w:rPr>
            </w:pPr>
            <w:r>
              <w:rPr>
                <w:rFonts w:ascii="Arial" w:cs="Arial" w:eastAsia="Arial" w:hAnsi="Arial"/>
                <w:sz w:val="16"/>
                <w:szCs w:val="16"/>
                <w:color w:val="auto"/>
              </w:rPr>
              <w:t>29,171</w:t>
            </w:r>
          </w:p>
        </w:tc>
        <w:tc>
          <w:tcPr>
            <w:tcW w:w="1720" w:type="dxa"/>
            <w:vAlign w:val="bottom"/>
            <w:tcBorders>
              <w:bottom w:val="single" w:sz="8" w:color="BFBFBF"/>
            </w:tcBorders>
            <w:shd w:val="clear" w:color="auto" w:fill="F3F3F3"/>
          </w:tcPr>
          <w:p>
            <w:pPr>
              <w:jc w:val="right"/>
              <w:ind w:right="62"/>
              <w:spacing w:after="0"/>
              <w:rPr>
                <w:sz w:val="20"/>
                <w:szCs w:val="20"/>
                <w:color w:val="auto"/>
              </w:rPr>
            </w:pPr>
            <w:r>
              <w:rPr>
                <w:rFonts w:ascii="Arial" w:cs="Arial" w:eastAsia="Arial" w:hAnsi="Arial"/>
                <w:sz w:val="16"/>
                <w:szCs w:val="16"/>
                <w:color w:val="auto"/>
              </w:rPr>
              <w:t>827,154</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1960" w:type="dxa"/>
            <w:vAlign w:val="bottom"/>
            <w:tcBorders>
              <w:bottom w:val="single" w:sz="8" w:color="BFBFBF"/>
            </w:tcBorders>
          </w:tcPr>
          <w:p>
            <w:pPr>
              <w:jc w:val="right"/>
              <w:ind w:right="183"/>
              <w:spacing w:after="0"/>
              <w:rPr>
                <w:sz w:val="20"/>
                <w:szCs w:val="20"/>
                <w:color w:val="auto"/>
              </w:rPr>
            </w:pPr>
            <w:r>
              <w:rPr>
                <w:rFonts w:ascii="Arial" w:cs="Arial" w:eastAsia="Arial" w:hAnsi="Arial"/>
                <w:sz w:val="16"/>
                <w:szCs w:val="16"/>
                <w:color w:val="auto"/>
              </w:rPr>
              <w:t>30,660</w:t>
            </w:r>
          </w:p>
        </w:tc>
        <w:tc>
          <w:tcPr>
            <w:tcW w:w="1720" w:type="dxa"/>
            <w:vAlign w:val="bottom"/>
            <w:tcBorders>
              <w:bottom w:val="single" w:sz="8" w:color="BFBFBF"/>
            </w:tcBorders>
          </w:tcPr>
          <w:p>
            <w:pPr>
              <w:jc w:val="right"/>
              <w:ind w:right="62"/>
              <w:spacing w:after="0"/>
              <w:rPr>
                <w:sz w:val="20"/>
                <w:szCs w:val="20"/>
                <w:color w:val="auto"/>
              </w:rPr>
            </w:pPr>
            <w:r>
              <w:rPr>
                <w:rFonts w:ascii="Arial" w:cs="Arial" w:eastAsia="Arial" w:hAnsi="Arial"/>
                <w:sz w:val="16"/>
                <w:szCs w:val="16"/>
                <w:color w:val="auto"/>
              </w:rPr>
              <w:t>352,363</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1960" w:type="dxa"/>
            <w:vAlign w:val="bottom"/>
            <w:tcBorders>
              <w:bottom w:val="single" w:sz="8" w:color="BFBFBF"/>
            </w:tcBorders>
            <w:shd w:val="clear" w:color="auto" w:fill="F3F3F3"/>
          </w:tcPr>
          <w:p>
            <w:pPr>
              <w:jc w:val="right"/>
              <w:ind w:right="183"/>
              <w:spacing w:after="0"/>
              <w:rPr>
                <w:sz w:val="20"/>
                <w:szCs w:val="20"/>
                <w:color w:val="auto"/>
              </w:rPr>
            </w:pPr>
            <w:r>
              <w:rPr>
                <w:rFonts w:ascii="Arial" w:cs="Arial" w:eastAsia="Arial" w:hAnsi="Arial"/>
                <w:sz w:val="16"/>
                <w:szCs w:val="16"/>
                <w:color w:val="auto"/>
              </w:rPr>
              <w:t>28,225</w:t>
            </w:r>
          </w:p>
        </w:tc>
        <w:tc>
          <w:tcPr>
            <w:tcW w:w="1720" w:type="dxa"/>
            <w:vAlign w:val="bottom"/>
            <w:tcBorders>
              <w:bottom w:val="single" w:sz="8" w:color="BFBFBF"/>
            </w:tcBorders>
            <w:shd w:val="clear" w:color="auto" w:fill="F3F3F3"/>
          </w:tcPr>
          <w:p>
            <w:pPr>
              <w:jc w:val="right"/>
              <w:ind w:right="62"/>
              <w:spacing w:after="0"/>
              <w:rPr>
                <w:sz w:val="20"/>
                <w:szCs w:val="20"/>
                <w:color w:val="auto"/>
              </w:rPr>
            </w:pPr>
            <w:r>
              <w:rPr>
                <w:rFonts w:ascii="Arial" w:cs="Arial" w:eastAsia="Arial" w:hAnsi="Arial"/>
                <w:sz w:val="16"/>
                <w:szCs w:val="16"/>
                <w:color w:val="auto"/>
              </w:rPr>
              <w:t>793,455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1960" w:type="dxa"/>
            <w:vAlign w:val="bottom"/>
            <w:tcBorders>
              <w:bottom w:val="single" w:sz="8" w:color="BFBFBF"/>
            </w:tcBorders>
          </w:tcPr>
          <w:p>
            <w:pPr>
              <w:jc w:val="right"/>
              <w:ind w:right="183"/>
              <w:spacing w:after="0"/>
              <w:rPr>
                <w:sz w:val="20"/>
                <w:szCs w:val="20"/>
                <w:color w:val="auto"/>
              </w:rPr>
            </w:pPr>
            <w:r>
              <w:rPr>
                <w:rFonts w:ascii="Arial" w:cs="Arial" w:eastAsia="Arial" w:hAnsi="Arial"/>
                <w:sz w:val="16"/>
                <w:szCs w:val="16"/>
                <w:color w:val="auto"/>
              </w:rPr>
              <w:t>13,768</w:t>
            </w:r>
          </w:p>
        </w:tc>
        <w:tc>
          <w:tcPr>
            <w:tcW w:w="1720" w:type="dxa"/>
            <w:vAlign w:val="bottom"/>
            <w:tcBorders>
              <w:bottom w:val="single" w:sz="8" w:color="BFBFBF"/>
            </w:tcBorders>
          </w:tcPr>
          <w:p>
            <w:pPr>
              <w:jc w:val="right"/>
              <w:ind w:right="62"/>
              <w:spacing w:after="0"/>
              <w:rPr>
                <w:sz w:val="20"/>
                <w:szCs w:val="20"/>
                <w:color w:val="auto"/>
              </w:rPr>
            </w:pPr>
            <w:r>
              <w:rPr>
                <w:rFonts w:ascii="Arial" w:cs="Arial" w:eastAsia="Arial" w:hAnsi="Arial"/>
                <w:sz w:val="16"/>
                <w:szCs w:val="16"/>
                <w:color w:val="auto"/>
              </w:rPr>
              <w:t>161,544</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 Represents the product of the number of shares of stock covered by the restricted share units that vested and the closing price per share of stock on the vesting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Pension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pension benefits for each named executive officer.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00" w:type="dxa"/>
            <w:vAlign w:val="bottom"/>
            <w:tcBorders>
              <w:top w:val="single" w:sz="8" w:color="BFBFBF"/>
            </w:tcBorders>
            <w:shd w:val="clear" w:color="auto" w:fill="E7E7E8"/>
          </w:tcPr>
          <w:p>
            <w:pPr>
              <w:spacing w:after="0"/>
              <w:rPr>
                <w:sz w:val="14"/>
                <w:szCs w:val="14"/>
                <w:color w:val="auto"/>
              </w:rPr>
            </w:pPr>
          </w:p>
        </w:tc>
        <w:tc>
          <w:tcPr>
            <w:tcW w:w="2760" w:type="dxa"/>
            <w:vAlign w:val="bottom"/>
            <w:tcBorders>
              <w:top w:val="single" w:sz="8" w:color="BFBFBF"/>
            </w:tcBorders>
            <w:shd w:val="clear" w:color="auto" w:fill="E7E7E8"/>
          </w:tcPr>
          <w:p>
            <w:pPr>
              <w:spacing w:after="0"/>
              <w:rPr>
                <w:sz w:val="14"/>
                <w:szCs w:val="14"/>
                <w:color w:val="auto"/>
              </w:rPr>
            </w:pPr>
          </w:p>
        </w:tc>
        <w:tc>
          <w:tcPr>
            <w:tcW w:w="2220" w:type="dxa"/>
            <w:vAlign w:val="bottom"/>
            <w:tcBorders>
              <w:top w:val="single" w:sz="8" w:color="BFBFBF"/>
            </w:tcBorders>
            <w:vMerge w:val="restart"/>
            <w:shd w:val="clear" w:color="auto" w:fill="E7E7E8"/>
          </w:tcPr>
          <w:p>
            <w:pPr>
              <w:jc w:val="center"/>
              <w:ind w:left="241"/>
              <w:spacing w:after="0"/>
              <w:rPr>
                <w:sz w:val="20"/>
                <w:szCs w:val="20"/>
                <w:color w:val="auto"/>
              </w:rPr>
            </w:pPr>
            <w:r>
              <w:rPr>
                <w:rFonts w:ascii="Arial" w:cs="Arial" w:eastAsia="Arial" w:hAnsi="Arial"/>
                <w:sz w:val="14"/>
                <w:szCs w:val="14"/>
                <w:b w:val="1"/>
                <w:bCs w:val="1"/>
                <w:color w:val="0033A0"/>
                <w:w w:val="94"/>
              </w:rPr>
              <w:t>Number of Years</w:t>
            </w:r>
          </w:p>
        </w:tc>
        <w:tc>
          <w:tcPr>
            <w:tcW w:w="1740" w:type="dxa"/>
            <w:vAlign w:val="bottom"/>
            <w:tcBorders>
              <w:top w:val="single" w:sz="8" w:color="BFBFBF"/>
            </w:tcBorders>
            <w:shd w:val="clear" w:color="auto" w:fill="E7E7E8"/>
          </w:tcPr>
          <w:p>
            <w:pPr>
              <w:jc w:val="center"/>
              <w:ind w:right="182"/>
              <w:spacing w:after="0"/>
              <w:rPr>
                <w:sz w:val="20"/>
                <w:szCs w:val="20"/>
                <w:color w:val="auto"/>
              </w:rPr>
            </w:pPr>
            <w:r>
              <w:rPr>
                <w:rFonts w:ascii="Arial" w:cs="Arial" w:eastAsia="Arial" w:hAnsi="Arial"/>
                <w:sz w:val="14"/>
                <w:szCs w:val="14"/>
                <w:b w:val="1"/>
                <w:bCs w:val="1"/>
                <w:color w:val="0033A0"/>
                <w:w w:val="91"/>
              </w:rPr>
              <w:t>Present Value of</w:t>
            </w:r>
          </w:p>
        </w:tc>
        <w:tc>
          <w:tcPr>
            <w:tcW w:w="1520" w:type="dxa"/>
            <w:vAlign w:val="bottom"/>
            <w:tcBorders>
              <w:top w:val="single" w:sz="8" w:color="BFBFBF"/>
            </w:tcBorders>
            <w:shd w:val="clear" w:color="auto" w:fill="E7E7E8"/>
          </w:tcPr>
          <w:p>
            <w:pPr>
              <w:jc w:val="center"/>
              <w:ind w:right="82"/>
              <w:spacing w:after="0"/>
              <w:rPr>
                <w:sz w:val="20"/>
                <w:szCs w:val="20"/>
                <w:color w:val="auto"/>
              </w:rPr>
            </w:pPr>
            <w:r>
              <w:rPr>
                <w:rFonts w:ascii="Arial" w:cs="Arial" w:eastAsia="Arial" w:hAnsi="Arial"/>
                <w:sz w:val="14"/>
                <w:szCs w:val="14"/>
                <w:b w:val="1"/>
                <w:bCs w:val="1"/>
                <w:color w:val="0033A0"/>
                <w:w w:val="90"/>
              </w:rPr>
              <w:t>Payments</w:t>
            </w:r>
          </w:p>
        </w:tc>
        <w:tc>
          <w:tcPr>
            <w:tcW w:w="0" w:type="dxa"/>
            <w:vAlign w:val="bottom"/>
          </w:tcPr>
          <w:p>
            <w:pPr>
              <w:spacing w:after="0"/>
              <w:rPr>
                <w:sz w:val="1"/>
                <w:szCs w:val="1"/>
                <w:color w:val="auto"/>
              </w:rPr>
            </w:pPr>
          </w:p>
        </w:tc>
      </w:tr>
      <w:tr>
        <w:trPr>
          <w:trHeight w:val="148"/>
        </w:trPr>
        <w:tc>
          <w:tcPr>
            <w:tcW w:w="3000" w:type="dxa"/>
            <w:vAlign w:val="bottom"/>
            <w:shd w:val="clear" w:color="auto" w:fill="E7E7E8"/>
          </w:tcPr>
          <w:p>
            <w:pPr>
              <w:spacing w:after="0"/>
              <w:rPr>
                <w:sz w:val="12"/>
                <w:szCs w:val="12"/>
                <w:color w:val="auto"/>
              </w:rPr>
            </w:pPr>
          </w:p>
        </w:tc>
        <w:tc>
          <w:tcPr>
            <w:tcW w:w="2760" w:type="dxa"/>
            <w:vAlign w:val="bottom"/>
            <w:shd w:val="clear" w:color="auto" w:fill="E7E7E8"/>
          </w:tcPr>
          <w:p>
            <w:pPr>
              <w:spacing w:after="0"/>
              <w:rPr>
                <w:sz w:val="12"/>
                <w:szCs w:val="12"/>
                <w:color w:val="auto"/>
              </w:rPr>
            </w:pPr>
          </w:p>
        </w:tc>
        <w:tc>
          <w:tcPr>
            <w:tcW w:w="2220" w:type="dxa"/>
            <w:vAlign w:val="bottom"/>
            <w:vMerge w:val="continue"/>
            <w:shd w:val="clear" w:color="auto" w:fill="E7E7E8"/>
          </w:tcPr>
          <w:p>
            <w:pPr>
              <w:spacing w:after="0"/>
              <w:rPr>
                <w:sz w:val="12"/>
                <w:szCs w:val="12"/>
                <w:color w:val="auto"/>
              </w:rPr>
            </w:pPr>
          </w:p>
        </w:tc>
        <w:tc>
          <w:tcPr>
            <w:tcW w:w="1740" w:type="dxa"/>
            <w:vAlign w:val="bottom"/>
            <w:shd w:val="clear" w:color="auto" w:fill="E7E7E8"/>
          </w:tcPr>
          <w:p>
            <w:pPr>
              <w:jc w:val="center"/>
              <w:ind w:right="202"/>
              <w:spacing w:after="0" w:line="149" w:lineRule="exact"/>
              <w:rPr>
                <w:sz w:val="20"/>
                <w:szCs w:val="20"/>
                <w:color w:val="auto"/>
              </w:rPr>
            </w:pPr>
            <w:r>
              <w:rPr>
                <w:rFonts w:ascii="Arial" w:cs="Arial" w:eastAsia="Arial" w:hAnsi="Arial"/>
                <w:sz w:val="14"/>
                <w:szCs w:val="14"/>
                <w:b w:val="1"/>
                <w:bCs w:val="1"/>
                <w:color w:val="0033A0"/>
                <w:w w:val="93"/>
              </w:rPr>
              <w:t>Accumulated</w:t>
            </w:r>
          </w:p>
        </w:tc>
        <w:tc>
          <w:tcPr>
            <w:tcW w:w="1520" w:type="dxa"/>
            <w:vAlign w:val="bottom"/>
            <w:shd w:val="clear" w:color="auto" w:fill="E7E7E8"/>
          </w:tcPr>
          <w:p>
            <w:pPr>
              <w:jc w:val="center"/>
              <w:ind w:right="82"/>
              <w:spacing w:after="0" w:line="149" w:lineRule="exact"/>
              <w:rPr>
                <w:sz w:val="20"/>
                <w:szCs w:val="20"/>
                <w:color w:val="auto"/>
              </w:rPr>
            </w:pPr>
            <w:r>
              <w:rPr>
                <w:rFonts w:ascii="Arial" w:cs="Arial" w:eastAsia="Arial" w:hAnsi="Arial"/>
                <w:sz w:val="14"/>
                <w:szCs w:val="14"/>
                <w:b w:val="1"/>
                <w:bCs w:val="1"/>
                <w:color w:val="0033A0"/>
                <w:w w:val="97"/>
              </w:rPr>
              <w:t>During Last</w:t>
            </w:r>
          </w:p>
        </w:tc>
        <w:tc>
          <w:tcPr>
            <w:tcW w:w="0" w:type="dxa"/>
            <w:vAlign w:val="bottom"/>
          </w:tcPr>
          <w:p>
            <w:pPr>
              <w:spacing w:after="0"/>
              <w:rPr>
                <w:sz w:val="1"/>
                <w:szCs w:val="1"/>
                <w:color w:val="auto"/>
              </w:rPr>
            </w:pPr>
          </w:p>
        </w:tc>
      </w:tr>
      <w:tr>
        <w:trPr>
          <w:trHeight w:val="148"/>
        </w:trPr>
        <w:tc>
          <w:tcPr>
            <w:tcW w:w="300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2760" w:type="dxa"/>
            <w:vAlign w:val="bottom"/>
            <w:vMerge w:val="restart"/>
            <w:shd w:val="clear" w:color="auto" w:fill="E7E7E8"/>
          </w:tcPr>
          <w:p>
            <w:pPr>
              <w:ind w:left="1320"/>
              <w:spacing w:after="0"/>
              <w:rPr>
                <w:sz w:val="20"/>
                <w:szCs w:val="20"/>
                <w:color w:val="auto"/>
              </w:rPr>
            </w:pPr>
            <w:r>
              <w:rPr>
                <w:rFonts w:ascii="Arial" w:cs="Arial" w:eastAsia="Arial" w:hAnsi="Arial"/>
                <w:sz w:val="14"/>
                <w:szCs w:val="14"/>
                <w:b w:val="1"/>
                <w:bCs w:val="1"/>
                <w:color w:val="0033A0"/>
              </w:rPr>
              <w:t>Plan Name</w:t>
            </w:r>
          </w:p>
        </w:tc>
        <w:tc>
          <w:tcPr>
            <w:tcW w:w="2220" w:type="dxa"/>
            <w:vAlign w:val="bottom"/>
            <w:shd w:val="clear" w:color="auto" w:fill="E7E7E8"/>
          </w:tcPr>
          <w:p>
            <w:pPr>
              <w:jc w:val="center"/>
              <w:ind w:left="241"/>
              <w:spacing w:after="0" w:line="149" w:lineRule="exact"/>
              <w:rPr>
                <w:sz w:val="20"/>
                <w:szCs w:val="20"/>
                <w:color w:val="auto"/>
              </w:rPr>
            </w:pPr>
            <w:r>
              <w:rPr>
                <w:rFonts w:ascii="Arial" w:cs="Arial" w:eastAsia="Arial" w:hAnsi="Arial"/>
                <w:sz w:val="14"/>
                <w:szCs w:val="14"/>
                <w:b w:val="1"/>
                <w:bCs w:val="1"/>
                <w:color w:val="0033A0"/>
                <w:w w:val="92"/>
              </w:rPr>
              <w:t>Credited Service</w:t>
            </w:r>
          </w:p>
        </w:tc>
        <w:tc>
          <w:tcPr>
            <w:tcW w:w="1740" w:type="dxa"/>
            <w:vAlign w:val="bottom"/>
            <w:shd w:val="clear" w:color="auto" w:fill="E7E7E8"/>
          </w:tcPr>
          <w:p>
            <w:pPr>
              <w:jc w:val="center"/>
              <w:ind w:right="182"/>
              <w:spacing w:after="0" w:line="149" w:lineRule="exact"/>
              <w:rPr>
                <w:sz w:val="20"/>
                <w:szCs w:val="20"/>
                <w:color w:val="auto"/>
              </w:rPr>
            </w:pPr>
            <w:r>
              <w:rPr>
                <w:rFonts w:ascii="Arial" w:cs="Arial" w:eastAsia="Arial" w:hAnsi="Arial"/>
                <w:sz w:val="14"/>
                <w:szCs w:val="14"/>
                <w:b w:val="1"/>
                <w:bCs w:val="1"/>
                <w:color w:val="0033A0"/>
                <w:w w:val="92"/>
              </w:rPr>
              <w:t>Benefit</w:t>
            </w:r>
          </w:p>
        </w:tc>
        <w:tc>
          <w:tcPr>
            <w:tcW w:w="1520" w:type="dxa"/>
            <w:vAlign w:val="bottom"/>
            <w:shd w:val="clear" w:color="auto" w:fill="E7E7E8"/>
          </w:tcPr>
          <w:p>
            <w:pPr>
              <w:jc w:val="center"/>
              <w:ind w:right="82"/>
              <w:spacing w:after="0" w:line="149" w:lineRule="exact"/>
              <w:rPr>
                <w:sz w:val="20"/>
                <w:szCs w:val="20"/>
                <w:color w:val="auto"/>
              </w:rPr>
            </w:pPr>
            <w:r>
              <w:rPr>
                <w:rFonts w:ascii="Arial" w:cs="Arial" w:eastAsia="Arial" w:hAnsi="Arial"/>
                <w:sz w:val="14"/>
                <w:szCs w:val="14"/>
                <w:b w:val="1"/>
                <w:bCs w:val="1"/>
                <w:color w:val="0033A0"/>
                <w:w w:val="91"/>
              </w:rPr>
              <w:t>Fiscal Year</w:t>
            </w:r>
          </w:p>
        </w:tc>
        <w:tc>
          <w:tcPr>
            <w:tcW w:w="0" w:type="dxa"/>
            <w:vAlign w:val="bottom"/>
          </w:tcPr>
          <w:p>
            <w:pPr>
              <w:spacing w:after="0"/>
              <w:rPr>
                <w:sz w:val="1"/>
                <w:szCs w:val="1"/>
                <w:color w:val="auto"/>
              </w:rPr>
            </w:pPr>
          </w:p>
        </w:tc>
      </w:tr>
      <w:tr>
        <w:trPr>
          <w:trHeight w:val="178"/>
        </w:trPr>
        <w:tc>
          <w:tcPr>
            <w:tcW w:w="3000" w:type="dxa"/>
            <w:vAlign w:val="bottom"/>
            <w:tcBorders>
              <w:bottom w:val="single" w:sz="8" w:color="BFBFBF"/>
            </w:tcBorders>
            <w:vMerge w:val="continue"/>
            <w:shd w:val="clear" w:color="auto" w:fill="E7E7E8"/>
          </w:tcPr>
          <w:p>
            <w:pPr>
              <w:spacing w:after="0"/>
              <w:rPr>
                <w:sz w:val="15"/>
                <w:szCs w:val="15"/>
                <w:color w:val="auto"/>
              </w:rPr>
            </w:pPr>
          </w:p>
        </w:tc>
        <w:tc>
          <w:tcPr>
            <w:tcW w:w="2760" w:type="dxa"/>
            <w:vAlign w:val="bottom"/>
            <w:tcBorders>
              <w:bottom w:val="single" w:sz="8" w:color="BFBFBF"/>
            </w:tcBorders>
            <w:vMerge w:val="continue"/>
            <w:shd w:val="clear" w:color="auto" w:fill="E7E7E8"/>
          </w:tcPr>
          <w:p>
            <w:pPr>
              <w:spacing w:after="0"/>
              <w:rPr>
                <w:sz w:val="15"/>
                <w:szCs w:val="15"/>
                <w:color w:val="auto"/>
              </w:rPr>
            </w:pPr>
          </w:p>
        </w:tc>
        <w:tc>
          <w:tcPr>
            <w:tcW w:w="2220" w:type="dxa"/>
            <w:vAlign w:val="bottom"/>
            <w:tcBorders>
              <w:bottom w:val="single" w:sz="8" w:color="BFBFBF"/>
            </w:tcBorders>
            <w:shd w:val="clear" w:color="auto" w:fill="E7E7E8"/>
          </w:tcPr>
          <w:p>
            <w:pPr>
              <w:jc w:val="center"/>
              <w:ind w:left="241"/>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(1)</w:t>
            </w:r>
          </w:p>
        </w:tc>
        <w:tc>
          <w:tcPr>
            <w:tcW w:w="1740" w:type="dxa"/>
            <w:vAlign w:val="bottom"/>
            <w:tcBorders>
              <w:bottom w:val="single" w:sz="8" w:color="BFBFBF"/>
            </w:tcBorders>
            <w:shd w:val="clear" w:color="auto" w:fill="E7E7E8"/>
          </w:tcPr>
          <w:p>
            <w:pPr>
              <w:jc w:val="center"/>
              <w:ind w:right="182"/>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(1)</w:t>
            </w:r>
          </w:p>
        </w:tc>
        <w:tc>
          <w:tcPr>
            <w:tcW w:w="1520" w:type="dxa"/>
            <w:vAlign w:val="bottom"/>
            <w:tcBorders>
              <w:bottom w:val="single" w:sz="8" w:color="BFBFBF"/>
            </w:tcBorders>
            <w:shd w:val="clear" w:color="auto" w:fill="E7E7E8"/>
          </w:tcPr>
          <w:p>
            <w:pPr>
              <w:jc w:val="center"/>
              <w:ind w:right="82"/>
              <w:spacing w:after="0"/>
              <w:rPr>
                <w:sz w:val="20"/>
                <w:szCs w:val="20"/>
                <w:color w:val="auto"/>
              </w:rPr>
            </w:pPr>
            <w:r>
              <w:rPr>
                <w:rFonts w:ascii="Arial" w:cs="Arial" w:eastAsia="Arial" w:hAnsi="Arial"/>
                <w:sz w:val="14"/>
                <w:szCs w:val="14"/>
                <w:b w:val="1"/>
                <w:bCs w:val="1"/>
                <w:color w:val="0033A0"/>
                <w:w w:val="93"/>
              </w:rPr>
              <w:t>($)</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b w:val="1"/>
                <w:bCs w:val="1"/>
                <w:color w:val="0033A0"/>
              </w:rPr>
              <w:t>Mr. Symson</w:t>
            </w:r>
          </w:p>
        </w:tc>
        <w:tc>
          <w:tcPr>
            <w:tcW w:w="2760" w:type="dxa"/>
            <w:vAlign w:val="bottom"/>
          </w:tcPr>
          <w:p>
            <w:pPr>
              <w:ind w:left="160"/>
              <w:spacing w:after="0"/>
              <w:rPr>
                <w:sz w:val="20"/>
                <w:szCs w:val="20"/>
                <w:color w:val="auto"/>
              </w:rPr>
            </w:pPr>
            <w:r>
              <w:rPr>
                <w:rFonts w:ascii="Arial" w:cs="Arial" w:eastAsia="Arial" w:hAnsi="Arial"/>
                <w:sz w:val="18"/>
                <w:szCs w:val="18"/>
                <w:color w:val="auto"/>
              </w:rPr>
              <w:t>Scripps Pension Plan</w:t>
            </w:r>
          </w:p>
        </w:tc>
        <w:tc>
          <w:tcPr>
            <w:tcW w:w="2220" w:type="dxa"/>
            <w:vAlign w:val="bottom"/>
          </w:tcPr>
          <w:p>
            <w:pPr>
              <w:jc w:val="right"/>
              <w:ind w:right="161"/>
              <w:spacing w:after="0"/>
              <w:rPr>
                <w:sz w:val="20"/>
                <w:szCs w:val="20"/>
                <w:color w:val="auto"/>
              </w:rPr>
            </w:pPr>
            <w:r>
              <w:rPr>
                <w:rFonts w:ascii="Arial" w:cs="Arial" w:eastAsia="Arial" w:hAnsi="Arial"/>
                <w:sz w:val="16"/>
                <w:szCs w:val="16"/>
                <w:color w:val="auto"/>
              </w:rPr>
              <w:t>7.33</w:t>
            </w:r>
          </w:p>
        </w:tc>
        <w:tc>
          <w:tcPr>
            <w:tcW w:w="1740" w:type="dxa"/>
            <w:vAlign w:val="bottom"/>
          </w:tcPr>
          <w:p>
            <w:pPr>
              <w:jc w:val="right"/>
              <w:ind w:right="222"/>
              <w:spacing w:after="0"/>
              <w:rPr>
                <w:sz w:val="20"/>
                <w:szCs w:val="20"/>
                <w:color w:val="auto"/>
              </w:rPr>
            </w:pPr>
            <w:r>
              <w:rPr>
                <w:rFonts w:ascii="Arial" w:cs="Arial" w:eastAsia="Arial" w:hAnsi="Arial"/>
                <w:sz w:val="16"/>
                <w:szCs w:val="16"/>
                <w:color w:val="auto"/>
              </w:rPr>
              <w:t>249,046</w:t>
            </w:r>
          </w:p>
        </w:tc>
        <w:tc>
          <w:tcPr>
            <w:tcW w:w="152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SERP</w:t>
            </w:r>
          </w:p>
        </w:tc>
        <w:tc>
          <w:tcPr>
            <w:tcW w:w="2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7.33</w:t>
            </w:r>
          </w:p>
        </w:tc>
        <w:tc>
          <w:tcPr>
            <w:tcW w:w="1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160,524</w:t>
            </w:r>
          </w:p>
        </w:tc>
        <w:tc>
          <w:tcPr>
            <w:tcW w:w="152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000" w:type="dxa"/>
            <w:vAlign w:val="bottom"/>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2760" w:type="dxa"/>
            <w:vAlign w:val="bottom"/>
            <w:shd w:val="clear" w:color="auto" w:fill="F3F3F3"/>
          </w:tcPr>
          <w:p>
            <w:pPr>
              <w:ind w:left="160"/>
              <w:spacing w:after="0"/>
              <w:rPr>
                <w:sz w:val="20"/>
                <w:szCs w:val="20"/>
                <w:color w:val="auto"/>
              </w:rPr>
            </w:pPr>
            <w:r>
              <w:rPr>
                <w:rFonts w:ascii="Arial" w:cs="Arial" w:eastAsia="Arial" w:hAnsi="Arial"/>
                <w:sz w:val="18"/>
                <w:szCs w:val="18"/>
                <w:color w:val="auto"/>
              </w:rPr>
              <w:t>Scripps Pension Plan</w:t>
            </w:r>
          </w:p>
        </w:tc>
        <w:tc>
          <w:tcPr>
            <w:tcW w:w="2220" w:type="dxa"/>
            <w:vAlign w:val="bottom"/>
            <w:shd w:val="clear" w:color="auto" w:fill="F3F3F3"/>
          </w:tcPr>
          <w:p>
            <w:pPr>
              <w:jc w:val="right"/>
              <w:ind w:right="161"/>
              <w:spacing w:after="0"/>
              <w:rPr>
                <w:sz w:val="20"/>
                <w:szCs w:val="20"/>
                <w:color w:val="auto"/>
              </w:rPr>
            </w:pPr>
            <w:r>
              <w:rPr>
                <w:rFonts w:ascii="Arial" w:cs="Arial" w:eastAsia="Arial" w:hAnsi="Arial"/>
                <w:sz w:val="16"/>
                <w:szCs w:val="16"/>
                <w:color w:val="auto"/>
              </w:rPr>
              <w:t>3.50</w:t>
            </w:r>
          </w:p>
        </w:tc>
        <w:tc>
          <w:tcPr>
            <w:tcW w:w="1740" w:type="dxa"/>
            <w:vAlign w:val="bottom"/>
            <w:shd w:val="clear" w:color="auto" w:fill="F3F3F3"/>
          </w:tcPr>
          <w:p>
            <w:pPr>
              <w:jc w:val="right"/>
              <w:ind w:right="222"/>
              <w:spacing w:after="0"/>
              <w:rPr>
                <w:sz w:val="20"/>
                <w:szCs w:val="20"/>
                <w:color w:val="auto"/>
              </w:rPr>
            </w:pPr>
            <w:r>
              <w:rPr>
                <w:rFonts w:ascii="Arial" w:cs="Arial" w:eastAsia="Arial" w:hAnsi="Arial"/>
                <w:sz w:val="16"/>
                <w:szCs w:val="16"/>
                <w:color w:val="auto"/>
              </w:rPr>
              <w:t>156,848</w:t>
            </w:r>
          </w:p>
        </w:tc>
        <w:tc>
          <w:tcPr>
            <w:tcW w:w="1520" w:type="dxa"/>
            <w:vAlign w:val="bottom"/>
            <w:shd w:val="clear" w:color="auto" w:fill="F3F3F3"/>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F3F3F3"/>
          </w:tcPr>
          <w:p>
            <w:pPr>
              <w:spacing w:after="0"/>
              <w:rPr>
                <w:sz w:val="19"/>
                <w:szCs w:val="19"/>
                <w:color w:val="auto"/>
              </w:rPr>
            </w:pPr>
          </w:p>
        </w:tc>
        <w:tc>
          <w:tcPr>
            <w:tcW w:w="2760" w:type="dxa"/>
            <w:vAlign w:val="bottom"/>
            <w:tcBorders>
              <w:bottom w:val="single" w:sz="8" w:color="auto"/>
            </w:tcBorders>
            <w:shd w:val="clear" w:color="auto" w:fill="F3F3F3"/>
          </w:tcPr>
          <w:p>
            <w:pPr>
              <w:ind w:left="160"/>
              <w:spacing w:after="0"/>
              <w:rPr>
                <w:sz w:val="20"/>
                <w:szCs w:val="20"/>
                <w:color w:val="auto"/>
              </w:rPr>
            </w:pPr>
            <w:r>
              <w:rPr>
                <w:rFonts w:ascii="Arial" w:cs="Arial" w:eastAsia="Arial" w:hAnsi="Arial"/>
                <w:sz w:val="18"/>
                <w:szCs w:val="18"/>
                <w:color w:val="auto"/>
              </w:rPr>
              <w:t>SERP</w:t>
            </w:r>
          </w:p>
        </w:tc>
        <w:tc>
          <w:tcPr>
            <w:tcW w:w="2220" w:type="dxa"/>
            <w:vAlign w:val="bottom"/>
            <w:tcBorders>
              <w:bottom w:val="single" w:sz="8" w:color="auto"/>
            </w:tcBorders>
            <w:shd w:val="clear" w:color="auto" w:fill="F3F3F3"/>
          </w:tcPr>
          <w:p>
            <w:pPr>
              <w:jc w:val="right"/>
              <w:ind w:right="161"/>
              <w:spacing w:after="0"/>
              <w:rPr>
                <w:sz w:val="20"/>
                <w:szCs w:val="20"/>
                <w:color w:val="auto"/>
              </w:rPr>
            </w:pPr>
            <w:r>
              <w:rPr>
                <w:rFonts w:ascii="Arial" w:cs="Arial" w:eastAsia="Arial" w:hAnsi="Arial"/>
                <w:sz w:val="16"/>
                <w:szCs w:val="16"/>
                <w:color w:val="auto"/>
              </w:rPr>
              <w:t>3.50</w:t>
            </w:r>
          </w:p>
        </w:tc>
        <w:tc>
          <w:tcPr>
            <w:tcW w:w="1740" w:type="dxa"/>
            <w:vAlign w:val="bottom"/>
            <w:tcBorders>
              <w:bottom w:val="single" w:sz="8" w:color="auto"/>
            </w:tcBorders>
            <w:shd w:val="clear" w:color="auto" w:fill="F3F3F3"/>
          </w:tcPr>
          <w:p>
            <w:pPr>
              <w:jc w:val="right"/>
              <w:ind w:right="222"/>
              <w:spacing w:after="0"/>
              <w:rPr>
                <w:sz w:val="20"/>
                <w:szCs w:val="20"/>
                <w:color w:val="auto"/>
              </w:rPr>
            </w:pPr>
            <w:r>
              <w:rPr>
                <w:rFonts w:ascii="Arial" w:cs="Arial" w:eastAsia="Arial" w:hAnsi="Arial"/>
                <w:sz w:val="16"/>
                <w:szCs w:val="16"/>
                <w:color w:val="auto"/>
              </w:rPr>
              <w:t>143,733</w:t>
            </w:r>
          </w:p>
        </w:tc>
        <w:tc>
          <w:tcPr>
            <w:tcW w:w="1520" w:type="dxa"/>
            <w:vAlign w:val="bottom"/>
            <w:tcBorders>
              <w:bottom w:val="single" w:sz="8" w:color="auto"/>
            </w:tcBorders>
            <w:shd w:val="clear" w:color="auto" w:fill="F3F3F3"/>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b w:val="1"/>
                <w:bCs w:val="1"/>
                <w:color w:val="0033A0"/>
              </w:rPr>
              <w:t>Mr. Lawlor</w:t>
            </w:r>
          </w:p>
        </w:tc>
        <w:tc>
          <w:tcPr>
            <w:tcW w:w="2760" w:type="dxa"/>
            <w:vAlign w:val="bottom"/>
          </w:tcPr>
          <w:p>
            <w:pPr>
              <w:ind w:left="160"/>
              <w:spacing w:after="0"/>
              <w:rPr>
                <w:sz w:val="20"/>
                <w:szCs w:val="20"/>
                <w:color w:val="auto"/>
              </w:rPr>
            </w:pPr>
            <w:r>
              <w:rPr>
                <w:rFonts w:ascii="Arial" w:cs="Arial" w:eastAsia="Arial" w:hAnsi="Arial"/>
                <w:sz w:val="18"/>
                <w:szCs w:val="18"/>
                <w:color w:val="auto"/>
              </w:rPr>
              <w:t>Scripps Pension Plan</w:t>
            </w:r>
          </w:p>
        </w:tc>
        <w:tc>
          <w:tcPr>
            <w:tcW w:w="2220" w:type="dxa"/>
            <w:vAlign w:val="bottom"/>
          </w:tcPr>
          <w:p>
            <w:pPr>
              <w:jc w:val="right"/>
              <w:ind w:right="161"/>
              <w:spacing w:after="0"/>
              <w:rPr>
                <w:sz w:val="20"/>
                <w:szCs w:val="20"/>
                <w:color w:val="auto"/>
              </w:rPr>
            </w:pPr>
            <w:r>
              <w:rPr>
                <w:rFonts w:ascii="Arial" w:cs="Arial" w:eastAsia="Arial" w:hAnsi="Arial"/>
                <w:sz w:val="16"/>
                <w:szCs w:val="16"/>
                <w:color w:val="auto"/>
              </w:rPr>
              <w:t>15.83</w:t>
            </w:r>
          </w:p>
        </w:tc>
        <w:tc>
          <w:tcPr>
            <w:tcW w:w="1740" w:type="dxa"/>
            <w:vAlign w:val="bottom"/>
          </w:tcPr>
          <w:p>
            <w:pPr>
              <w:jc w:val="right"/>
              <w:ind w:right="222"/>
              <w:spacing w:after="0"/>
              <w:rPr>
                <w:sz w:val="20"/>
                <w:szCs w:val="20"/>
                <w:color w:val="auto"/>
              </w:rPr>
            </w:pPr>
            <w:r>
              <w:rPr>
                <w:rFonts w:ascii="Arial" w:cs="Arial" w:eastAsia="Arial" w:hAnsi="Arial"/>
                <w:sz w:val="16"/>
                <w:szCs w:val="16"/>
                <w:color w:val="auto"/>
              </w:rPr>
              <w:t>648,512</w:t>
            </w:r>
          </w:p>
        </w:tc>
        <w:tc>
          <w:tcPr>
            <w:tcW w:w="152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SERP</w:t>
            </w:r>
          </w:p>
        </w:tc>
        <w:tc>
          <w:tcPr>
            <w:tcW w:w="2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15.83</w:t>
            </w:r>
          </w:p>
        </w:tc>
        <w:tc>
          <w:tcPr>
            <w:tcW w:w="1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1,113,636</w:t>
            </w:r>
          </w:p>
        </w:tc>
        <w:tc>
          <w:tcPr>
            <w:tcW w:w="152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000" w:type="dxa"/>
            <w:vAlign w:val="bottom"/>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2760" w:type="dxa"/>
            <w:vAlign w:val="bottom"/>
            <w:shd w:val="clear" w:color="auto" w:fill="F3F3F3"/>
          </w:tcPr>
          <w:p>
            <w:pPr>
              <w:ind w:left="160"/>
              <w:spacing w:after="0"/>
              <w:rPr>
                <w:sz w:val="20"/>
                <w:szCs w:val="20"/>
                <w:color w:val="auto"/>
              </w:rPr>
            </w:pPr>
            <w:r>
              <w:rPr>
                <w:rFonts w:ascii="Arial" w:cs="Arial" w:eastAsia="Arial" w:hAnsi="Arial"/>
                <w:sz w:val="18"/>
                <w:szCs w:val="18"/>
                <w:color w:val="auto"/>
              </w:rPr>
              <w:t>Scripps Pension Plan</w:t>
            </w:r>
          </w:p>
        </w:tc>
        <w:tc>
          <w:tcPr>
            <w:tcW w:w="2220" w:type="dxa"/>
            <w:vAlign w:val="bottom"/>
            <w:shd w:val="clear" w:color="auto" w:fill="F3F3F3"/>
          </w:tcPr>
          <w:p>
            <w:pPr>
              <w:jc w:val="right"/>
              <w:ind w:right="161"/>
              <w:spacing w:after="0"/>
              <w:rPr>
                <w:sz w:val="20"/>
                <w:szCs w:val="20"/>
                <w:color w:val="auto"/>
              </w:rPr>
            </w:pPr>
            <w:r>
              <w:rPr>
                <w:rFonts w:ascii="Arial" w:cs="Arial" w:eastAsia="Arial" w:hAnsi="Arial"/>
                <w:sz w:val="16"/>
                <w:szCs w:val="16"/>
                <w:color w:val="auto"/>
              </w:rPr>
              <w:t>1.17</w:t>
            </w:r>
          </w:p>
        </w:tc>
        <w:tc>
          <w:tcPr>
            <w:tcW w:w="1740" w:type="dxa"/>
            <w:vAlign w:val="bottom"/>
            <w:shd w:val="clear" w:color="auto" w:fill="F3F3F3"/>
          </w:tcPr>
          <w:p>
            <w:pPr>
              <w:jc w:val="right"/>
              <w:ind w:right="222"/>
              <w:spacing w:after="0"/>
              <w:rPr>
                <w:sz w:val="20"/>
                <w:szCs w:val="20"/>
                <w:color w:val="auto"/>
              </w:rPr>
            </w:pPr>
            <w:r>
              <w:rPr>
                <w:rFonts w:ascii="Arial" w:cs="Arial" w:eastAsia="Arial" w:hAnsi="Arial"/>
                <w:sz w:val="16"/>
                <w:szCs w:val="16"/>
                <w:color w:val="auto"/>
              </w:rPr>
              <w:t>39,902</w:t>
            </w:r>
          </w:p>
        </w:tc>
        <w:tc>
          <w:tcPr>
            <w:tcW w:w="1520" w:type="dxa"/>
            <w:vAlign w:val="bottom"/>
            <w:shd w:val="clear" w:color="auto" w:fill="F3F3F3"/>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F3F3F3"/>
          </w:tcPr>
          <w:p>
            <w:pPr>
              <w:spacing w:after="0"/>
              <w:rPr>
                <w:sz w:val="19"/>
                <w:szCs w:val="19"/>
                <w:color w:val="auto"/>
              </w:rPr>
            </w:pPr>
          </w:p>
        </w:tc>
        <w:tc>
          <w:tcPr>
            <w:tcW w:w="2760" w:type="dxa"/>
            <w:vAlign w:val="bottom"/>
            <w:tcBorders>
              <w:bottom w:val="single" w:sz="8" w:color="auto"/>
            </w:tcBorders>
            <w:shd w:val="clear" w:color="auto" w:fill="F3F3F3"/>
          </w:tcPr>
          <w:p>
            <w:pPr>
              <w:ind w:left="160"/>
              <w:spacing w:after="0"/>
              <w:rPr>
                <w:sz w:val="20"/>
                <w:szCs w:val="20"/>
                <w:color w:val="auto"/>
              </w:rPr>
            </w:pPr>
            <w:r>
              <w:rPr>
                <w:rFonts w:ascii="Arial" w:cs="Arial" w:eastAsia="Arial" w:hAnsi="Arial"/>
                <w:sz w:val="18"/>
                <w:szCs w:val="18"/>
                <w:color w:val="auto"/>
              </w:rPr>
              <w:t>SERP</w:t>
            </w:r>
          </w:p>
        </w:tc>
        <w:tc>
          <w:tcPr>
            <w:tcW w:w="2220" w:type="dxa"/>
            <w:vAlign w:val="bottom"/>
            <w:tcBorders>
              <w:bottom w:val="single" w:sz="8" w:color="auto"/>
            </w:tcBorders>
            <w:shd w:val="clear" w:color="auto" w:fill="F3F3F3"/>
          </w:tcPr>
          <w:p>
            <w:pPr>
              <w:jc w:val="right"/>
              <w:ind w:right="161"/>
              <w:spacing w:after="0"/>
              <w:rPr>
                <w:sz w:val="20"/>
                <w:szCs w:val="20"/>
                <w:color w:val="auto"/>
              </w:rPr>
            </w:pPr>
            <w:r>
              <w:rPr>
                <w:rFonts w:ascii="Arial" w:cs="Arial" w:eastAsia="Arial" w:hAnsi="Arial"/>
                <w:sz w:val="16"/>
                <w:szCs w:val="16"/>
                <w:color w:val="auto"/>
              </w:rPr>
              <w:t>1.17</w:t>
            </w:r>
          </w:p>
        </w:tc>
        <w:tc>
          <w:tcPr>
            <w:tcW w:w="1740" w:type="dxa"/>
            <w:vAlign w:val="bottom"/>
            <w:tcBorders>
              <w:bottom w:val="single" w:sz="8" w:color="auto"/>
            </w:tcBorders>
            <w:shd w:val="clear" w:color="auto" w:fill="F3F3F3"/>
          </w:tcPr>
          <w:p>
            <w:pPr>
              <w:jc w:val="right"/>
              <w:ind w:right="222"/>
              <w:spacing w:after="0"/>
              <w:rPr>
                <w:sz w:val="20"/>
                <w:szCs w:val="20"/>
                <w:color w:val="auto"/>
              </w:rPr>
            </w:pPr>
            <w:r>
              <w:rPr>
                <w:rFonts w:ascii="Arial" w:cs="Arial" w:eastAsia="Arial" w:hAnsi="Arial"/>
                <w:sz w:val="16"/>
                <w:szCs w:val="16"/>
                <w:color w:val="auto"/>
              </w:rPr>
              <w:t>43,717</w:t>
            </w:r>
          </w:p>
        </w:tc>
        <w:tc>
          <w:tcPr>
            <w:tcW w:w="1520" w:type="dxa"/>
            <w:vAlign w:val="bottom"/>
            <w:tcBorders>
              <w:bottom w:val="single" w:sz="8" w:color="auto"/>
            </w:tcBorders>
            <w:shd w:val="clear" w:color="auto" w:fill="F3F3F3"/>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b w:val="1"/>
                <w:bCs w:val="1"/>
                <w:color w:val="0033A0"/>
              </w:rPr>
              <w:t>Ms. Tomlin</w:t>
            </w:r>
          </w:p>
        </w:tc>
        <w:tc>
          <w:tcPr>
            <w:tcW w:w="2760" w:type="dxa"/>
            <w:vAlign w:val="bottom"/>
          </w:tcPr>
          <w:p>
            <w:pPr>
              <w:ind w:left="160"/>
              <w:spacing w:after="0"/>
              <w:rPr>
                <w:sz w:val="20"/>
                <w:szCs w:val="20"/>
                <w:color w:val="auto"/>
              </w:rPr>
            </w:pPr>
            <w:r>
              <w:rPr>
                <w:rFonts w:ascii="Arial" w:cs="Arial" w:eastAsia="Arial" w:hAnsi="Arial"/>
                <w:sz w:val="18"/>
                <w:szCs w:val="18"/>
                <w:color w:val="auto"/>
              </w:rPr>
              <w:t>Scripps Pension Plan</w:t>
            </w:r>
          </w:p>
        </w:tc>
        <w:tc>
          <w:tcPr>
            <w:tcW w:w="22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SERP</w:t>
            </w:r>
          </w:p>
        </w:tc>
        <w:tc>
          <w:tcPr>
            <w:tcW w:w="2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000" w:type="dxa"/>
            <w:vAlign w:val="bottom"/>
            <w:shd w:val="clear" w:color="auto" w:fill="BFBFBF"/>
          </w:tcPr>
          <w:p>
            <w:pPr>
              <w:spacing w:after="0" w:line="20" w:lineRule="exact"/>
              <w:rPr>
                <w:sz w:val="1"/>
                <w:szCs w:val="1"/>
                <w:color w:val="auto"/>
              </w:rPr>
            </w:pPr>
          </w:p>
        </w:tc>
        <w:tc>
          <w:tcPr>
            <w:tcW w:w="2760" w:type="dxa"/>
            <w:vAlign w:val="bottom"/>
            <w:shd w:val="clear" w:color="auto" w:fill="BFBFBF"/>
          </w:tcPr>
          <w:p>
            <w:pPr>
              <w:spacing w:after="0" w:line="20" w:lineRule="exact"/>
              <w:rPr>
                <w:sz w:val="1"/>
                <w:szCs w:val="1"/>
                <w:color w:val="auto"/>
              </w:rPr>
            </w:pPr>
          </w:p>
        </w:tc>
        <w:tc>
          <w:tcPr>
            <w:tcW w:w="2220" w:type="dxa"/>
            <w:vAlign w:val="bottom"/>
            <w:shd w:val="clear" w:color="auto" w:fill="BFBFBF"/>
          </w:tcPr>
          <w:p>
            <w:pPr>
              <w:spacing w:after="0" w:line="20" w:lineRule="exact"/>
              <w:rPr>
                <w:sz w:val="1"/>
                <w:szCs w:val="1"/>
                <w:color w:val="auto"/>
              </w:rPr>
            </w:pPr>
          </w:p>
        </w:tc>
        <w:tc>
          <w:tcPr>
            <w:tcW w:w="1740" w:type="dxa"/>
            <w:vAlign w:val="bottom"/>
            <w:shd w:val="clear" w:color="auto" w:fill="BFBFBF"/>
          </w:tcPr>
          <w:p>
            <w:pPr>
              <w:spacing w:after="0" w:line="20" w:lineRule="exact"/>
              <w:rPr>
                <w:sz w:val="1"/>
                <w:szCs w:val="1"/>
                <w:color w:val="auto"/>
              </w:rPr>
            </w:pPr>
          </w:p>
        </w:tc>
        <w:tc>
          <w:tcPr>
            <w:tcW w:w="152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260" w:hanging="252"/>
        <w:spacing w:after="0" w:line="23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number of years of credited service and the present value of accumulated benefit are calculated as of December 31, 2020. The present value of accumulated benefit was calculated using the same assumptions included in the 2020 Annual Report, except that (i) no pre-retirement decrements were assumed, and (ii) a single retirement age of 62 was used instead of retirement decrements (except for Mr. Appleton who has an assumed mid-year retirement for the value in the table). The Company froze the accrual of credited service (but not vesting service) in the pension plan and SERP effective June 30, 2009 and froze all compensation accruals after 2014. Ms. Tomlin did not participate in these plans since she was hired after the freeze date. All the eligible named executive officers are fully vested in their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Retirement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Scripps Pension Plan (the “Pension Plan”) is a tax-qualified pension plan covering substantially all eligible non-union employees that began employment prior to July 1, 2008 (the majority of our defined benefit plans were frozen June 30, 2009). The material terms and conditions of the Pension Plan as they pertain to the named executive officers include the following: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Benefit Formula: </w:t>
      </w:r>
      <w:r>
        <w:rPr>
          <w:rFonts w:ascii="Arial" w:cs="Arial" w:eastAsia="Arial" w:hAnsi="Arial"/>
          <w:sz w:val="18"/>
          <w:szCs w:val="18"/>
          <w:color w:val="auto"/>
        </w:rPr>
        <w:t>Subject to applicable Internal Revenue Code limits on benefits, the monthly normal retirement benefit is equal to 1 percent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average monthly compensation up to an integration level plus 1.25 percent of the participant’s average monthly compensation in excess of the integration level, multiplied by the participant’s months and years of service. The integration level is the average of the Social Security taxable wage bases for the 35 years prior to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termination (or disability, if applicable), but not later than 2014. Average monthly compensation is the monthly average of the compensation earned during the five consecutive years in the 11 years before termination for which the participant’s compensation was the highest. In 2009, we amended the pension plan to freeze service accruals as of June 30, 2009, and to freeze compensation accruals after a five-year transition period ending December 31, 2014. Ms. Tomlin did not participate in this plan since she was hired after the freeze date.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Subject to the applicable Internal Revenue Code limit, compensation included salary, bonuses earned during the year and paid by March 15</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following calendar year, and amounts deferred pursuant to the Scripps Retirement and Investment Plan and the Scripps Choice Plan.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Normal Retirement: </w:t>
      </w:r>
      <w:r>
        <w:rPr>
          <w:rFonts w:ascii="Arial" w:cs="Arial" w:eastAsia="Arial" w:hAnsi="Arial"/>
          <w:sz w:val="18"/>
          <w:szCs w:val="18"/>
          <w:color w:val="auto"/>
        </w:rPr>
        <w:t>A participant is eligible for a normal retirement benefit based on the benefit formula described above if his or her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on or after age 65.</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Early Retirement: </w:t>
      </w:r>
      <w:r>
        <w:rPr>
          <w:rFonts w:ascii="Arial" w:cs="Arial" w:eastAsia="Arial" w:hAnsi="Arial"/>
          <w:sz w:val="16"/>
          <w:szCs w:val="16"/>
          <w:color w:val="auto"/>
        </w:rPr>
        <w:t>A participant is eligible for an early retirement benefit if his or her employment terminates on or after age 55 and he or she has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10 years of service. The early retirement benefit is equal to the normal retirement benefit described above, reduced by 0.4167 percent for each month the benefit commences before age 62. The Company does not grant extra years of service to any named executive officer under the Pension Plan.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Deferred Vested Benefits: </w:t>
      </w:r>
      <w:r>
        <w:rPr>
          <w:rFonts w:ascii="Arial" w:cs="Arial" w:eastAsia="Arial" w:hAnsi="Arial"/>
          <w:sz w:val="18"/>
          <w:szCs w:val="18"/>
          <w:color w:val="auto"/>
        </w:rPr>
        <w:t>A participant who is not eligible for a normal or early retirement benefit but has completed five years of service is eligible for a</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retirement benefit following termination of employment, beginning at age 55, subject to a reduction of 0.5 percent for each month the benefit commences before age 65.</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Form of Benefit Payment: </w:t>
      </w:r>
      <w:r>
        <w:rPr>
          <w:rFonts w:ascii="Arial" w:cs="Arial" w:eastAsia="Arial" w:hAnsi="Arial"/>
          <w:sz w:val="17"/>
          <w:szCs w:val="17"/>
          <w:color w:val="auto"/>
        </w:rPr>
        <w:t>The benefit formula calculates the amount of benefit payable in the form of a monthly life annuity (which is the normal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for an unmarried participant). The normal form of payment for a married participant is a joint and 100 percent survivor annuity, which provides a reduced monthly amount for the participant’s life with the surviving spouse receiving 100 percent of the reduced monthly amount for life. Married participants with spousal consent can elect any optional form. Optional forms of benefits include a straight life annuity, a joint and 50 percent or 100 percent survivor annuity (which provides a reduced monthly amount for the participant’s life with the designated beneficiary receiving 50 percent or 100 percent of the monthly amount for life), or a monthly life annuity with a 10-year certain or five-year certain guarantee (which provides a reduced monthly amount for the participant’s life and, if the participant dies within 10 or five years of benefit commencement, equal payments to a designated beneficiary for the remainder of the 10-year or five-year certain period, as applicable).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forms of benefit payment are the actuarial equivalent of the monthly life annuity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Scripps Supplemental Executive Retirement Plan (“SERP”) is intended to retain executive talent by supplementing benefits payable under the Pension Plan. The material terms and conditions of the SERP as they pertain to the named executive officers include the following:</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 executive generally is eligible to participate in the SERP if he or she qualifies for a Pension Plan benefit that was limited by application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limits on compensation and benefits under tax-qualified retirement plans. In 2009, we amended the SERP to freeze participation. Ms. Tomlin did not participate in this plan since she was hired after the freeze date.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Benefit Formula: </w:t>
      </w:r>
      <w:r>
        <w:rPr>
          <w:rFonts w:ascii="Arial" w:cs="Arial" w:eastAsia="Arial" w:hAnsi="Arial"/>
          <w:sz w:val="16"/>
          <w:szCs w:val="16"/>
          <w:color w:val="auto"/>
        </w:rPr>
        <w:t>The SERP benefit is equal to the difference between the Pension Plan benefit calculated using the SERP definition of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actual Pension Plan benefit, plus a 2.9 percent gross-up for the combined employer/employee Medicare tax. Compensation includes all compensation included under the Pension Plan (without application of the IRS limit described under the Pension Plan), plus bonuses paid if earned more than one year prior to the payment date and certain deferred compensation and executive compensation payments designated by the Pension Board. In 2009, we amended the SERP to freeze service accruals as of June 30, 2009, and to freeze compensation accruals after a five-year transition period ending December 31, 2014.</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Benefit Entitlement: </w:t>
      </w:r>
      <w:r>
        <w:rPr>
          <w:rFonts w:ascii="Arial" w:cs="Arial" w:eastAsia="Arial" w:hAnsi="Arial"/>
          <w:sz w:val="18"/>
          <w:szCs w:val="18"/>
          <w:color w:val="auto"/>
        </w:rPr>
        <w:t>A vested participant becomes entitled to a SERP benefit when he or she terminates employment. The benefit is paid in a single lump</w:t>
      </w:r>
      <w:r>
        <w:rPr>
          <w:rFonts w:ascii="Arial" w:cs="Arial" w:eastAsia="Arial" w:hAnsi="Arial"/>
          <w:sz w:val="18"/>
          <w:szCs w:val="18"/>
          <w:i w:val="1"/>
          <w:iCs w:val="1"/>
          <w:color w:val="auto"/>
        </w:rPr>
        <w:t xml:space="preserve"> </w:t>
      </w:r>
      <w:r>
        <w:rPr>
          <w:rFonts w:ascii="Arial" w:cs="Arial" w:eastAsia="Arial" w:hAnsi="Arial"/>
          <w:sz w:val="18"/>
          <w:szCs w:val="18"/>
          <w:color w:val="auto"/>
        </w:rPr>
        <w:t>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2020 Nonqualified Deferred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nonqualified deferred compensation for each named executive officer as of December 31,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00" w:type="dxa"/>
            <w:vAlign w:val="bottom"/>
            <w:tcBorders>
              <w:top w:val="single" w:sz="8" w:color="BFBFBF"/>
            </w:tcBorders>
            <w:shd w:val="clear" w:color="auto" w:fill="E7E7E8"/>
          </w:tcPr>
          <w:p>
            <w:pPr>
              <w:spacing w:after="0"/>
              <w:rPr>
                <w:sz w:val="14"/>
                <w:szCs w:val="14"/>
                <w:color w:val="auto"/>
              </w:rPr>
            </w:pPr>
          </w:p>
        </w:tc>
        <w:tc>
          <w:tcPr>
            <w:tcW w:w="2840" w:type="dxa"/>
            <w:vAlign w:val="bottom"/>
            <w:tcBorders>
              <w:top w:val="single" w:sz="8" w:color="BFBFBF"/>
            </w:tcBorders>
            <w:shd w:val="clear" w:color="auto" w:fill="E7E7E8"/>
          </w:tcPr>
          <w:p>
            <w:pPr>
              <w:jc w:val="center"/>
              <w:ind w:left="1204"/>
              <w:spacing w:after="0"/>
              <w:rPr>
                <w:sz w:val="20"/>
                <w:szCs w:val="20"/>
                <w:color w:val="auto"/>
              </w:rPr>
            </w:pPr>
            <w:r>
              <w:rPr>
                <w:rFonts w:ascii="Arial" w:cs="Arial" w:eastAsia="Arial" w:hAnsi="Arial"/>
                <w:sz w:val="14"/>
                <w:szCs w:val="14"/>
                <w:b w:val="1"/>
                <w:bCs w:val="1"/>
                <w:color w:val="0033A0"/>
                <w:w w:val="91"/>
              </w:rPr>
              <w:t>Executive</w:t>
            </w:r>
          </w:p>
        </w:tc>
        <w:tc>
          <w:tcPr>
            <w:tcW w:w="1340" w:type="dxa"/>
            <w:vAlign w:val="bottom"/>
            <w:tcBorders>
              <w:top w:val="single" w:sz="8" w:color="BFBFBF"/>
            </w:tcBorders>
            <w:shd w:val="clear" w:color="auto" w:fill="E7E7E8"/>
          </w:tcPr>
          <w:p>
            <w:pPr>
              <w:jc w:val="center"/>
              <w:ind w:right="24"/>
              <w:spacing w:after="0"/>
              <w:rPr>
                <w:sz w:val="20"/>
                <w:szCs w:val="20"/>
                <w:color w:val="auto"/>
              </w:rPr>
            </w:pPr>
            <w:r>
              <w:rPr>
                <w:rFonts w:ascii="Arial" w:cs="Arial" w:eastAsia="Arial" w:hAnsi="Arial"/>
                <w:sz w:val="14"/>
                <w:szCs w:val="14"/>
                <w:b w:val="1"/>
                <w:bCs w:val="1"/>
                <w:color w:val="0033A0"/>
                <w:w w:val="93"/>
              </w:rPr>
              <w:t>Company</w:t>
            </w:r>
          </w:p>
        </w:tc>
        <w:tc>
          <w:tcPr>
            <w:tcW w:w="1480" w:type="dxa"/>
            <w:vAlign w:val="bottom"/>
            <w:tcBorders>
              <w:top w:val="single" w:sz="8" w:color="BFBFBF"/>
            </w:tcBorders>
            <w:shd w:val="clear" w:color="auto" w:fill="E7E7E8"/>
          </w:tcPr>
          <w:p>
            <w:pPr>
              <w:jc w:val="center"/>
              <w:ind w:right="4"/>
              <w:spacing w:after="0"/>
              <w:rPr>
                <w:sz w:val="20"/>
                <w:szCs w:val="20"/>
                <w:color w:val="auto"/>
              </w:rPr>
            </w:pPr>
            <w:r>
              <w:rPr>
                <w:rFonts w:ascii="Arial" w:cs="Arial" w:eastAsia="Arial" w:hAnsi="Arial"/>
                <w:sz w:val="14"/>
                <w:szCs w:val="14"/>
                <w:b w:val="1"/>
                <w:bCs w:val="1"/>
                <w:color w:val="0033A0"/>
                <w:w w:val="92"/>
              </w:rPr>
              <w:t>Aggregate</w:t>
            </w:r>
          </w:p>
        </w:tc>
        <w:tc>
          <w:tcPr>
            <w:tcW w:w="1420" w:type="dxa"/>
            <w:vAlign w:val="bottom"/>
            <w:tcBorders>
              <w:top w:val="single" w:sz="8" w:color="BFBFBF"/>
            </w:tcBorders>
            <w:vMerge w:val="restart"/>
            <w:shd w:val="clear" w:color="auto" w:fill="E7E7E8"/>
          </w:tcPr>
          <w:p>
            <w:pPr>
              <w:jc w:val="center"/>
              <w:ind w:right="83"/>
              <w:spacing w:after="0"/>
              <w:rPr>
                <w:sz w:val="20"/>
                <w:szCs w:val="20"/>
                <w:color w:val="auto"/>
              </w:rPr>
            </w:pPr>
            <w:r>
              <w:rPr>
                <w:rFonts w:ascii="Arial" w:cs="Arial" w:eastAsia="Arial" w:hAnsi="Arial"/>
                <w:sz w:val="14"/>
                <w:szCs w:val="14"/>
                <w:b w:val="1"/>
                <w:bCs w:val="1"/>
                <w:color w:val="0033A0"/>
                <w:w w:val="89"/>
              </w:rPr>
              <w:t>Aggregate</w:t>
            </w:r>
          </w:p>
        </w:tc>
        <w:tc>
          <w:tcPr>
            <w:tcW w:w="1360" w:type="dxa"/>
            <w:vAlign w:val="bottom"/>
            <w:tcBorders>
              <w:top w:val="single" w:sz="8" w:color="BFBFBF"/>
            </w:tcBorders>
            <w:vMerge w:val="restart"/>
            <w:shd w:val="clear" w:color="auto" w:fill="E7E7E8"/>
          </w:tcPr>
          <w:p>
            <w:pPr>
              <w:jc w:val="center"/>
              <w:ind w:right="3"/>
              <w:spacing w:after="0"/>
              <w:rPr>
                <w:sz w:val="20"/>
                <w:szCs w:val="20"/>
                <w:color w:val="auto"/>
              </w:rPr>
            </w:pPr>
            <w:r>
              <w:rPr>
                <w:rFonts w:ascii="Arial" w:cs="Arial" w:eastAsia="Arial" w:hAnsi="Arial"/>
                <w:sz w:val="14"/>
                <w:szCs w:val="14"/>
                <w:b w:val="1"/>
                <w:bCs w:val="1"/>
                <w:color w:val="0033A0"/>
                <w:w w:val="92"/>
              </w:rPr>
              <w:t>Aggregate</w:t>
            </w:r>
          </w:p>
        </w:tc>
        <w:tc>
          <w:tcPr>
            <w:tcW w:w="0" w:type="dxa"/>
            <w:vAlign w:val="bottom"/>
          </w:tcPr>
          <w:p>
            <w:pPr>
              <w:spacing w:after="0"/>
              <w:rPr>
                <w:sz w:val="1"/>
                <w:szCs w:val="1"/>
                <w:color w:val="auto"/>
              </w:rPr>
            </w:pPr>
          </w:p>
        </w:tc>
      </w:tr>
      <w:tr>
        <w:trPr>
          <w:trHeight w:val="148"/>
        </w:trPr>
        <w:tc>
          <w:tcPr>
            <w:tcW w:w="2800" w:type="dxa"/>
            <w:vAlign w:val="bottom"/>
            <w:shd w:val="clear" w:color="auto" w:fill="E7E7E8"/>
          </w:tcPr>
          <w:p>
            <w:pPr>
              <w:spacing w:after="0"/>
              <w:rPr>
                <w:sz w:val="12"/>
                <w:szCs w:val="12"/>
                <w:color w:val="auto"/>
              </w:rPr>
            </w:pPr>
          </w:p>
        </w:tc>
        <w:tc>
          <w:tcPr>
            <w:tcW w:w="2840" w:type="dxa"/>
            <w:vAlign w:val="bottom"/>
            <w:shd w:val="clear" w:color="auto" w:fill="E7E7E8"/>
          </w:tcPr>
          <w:p>
            <w:pPr>
              <w:jc w:val="center"/>
              <w:ind w:left="1204"/>
              <w:spacing w:after="0" w:line="149" w:lineRule="exact"/>
              <w:rPr>
                <w:sz w:val="20"/>
                <w:szCs w:val="20"/>
                <w:color w:val="auto"/>
              </w:rPr>
            </w:pPr>
            <w:r>
              <w:rPr>
                <w:rFonts w:ascii="Arial" w:cs="Arial" w:eastAsia="Arial" w:hAnsi="Arial"/>
                <w:sz w:val="14"/>
                <w:szCs w:val="14"/>
                <w:b w:val="1"/>
                <w:bCs w:val="1"/>
                <w:color w:val="0033A0"/>
                <w:w w:val="95"/>
              </w:rPr>
              <w:t>Contributions</w:t>
            </w:r>
          </w:p>
        </w:tc>
        <w:tc>
          <w:tcPr>
            <w:tcW w:w="134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93"/>
              </w:rPr>
              <w:t>Contributions</w:t>
            </w:r>
          </w:p>
        </w:tc>
        <w:tc>
          <w:tcPr>
            <w:tcW w:w="148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88"/>
              </w:rPr>
              <w:t>Earnings (Losses)</w:t>
            </w:r>
          </w:p>
        </w:tc>
        <w:tc>
          <w:tcPr>
            <w:tcW w:w="1420" w:type="dxa"/>
            <w:vAlign w:val="bottom"/>
            <w:vMerge w:val="continue"/>
            <w:shd w:val="clear" w:color="auto" w:fill="E7E7E8"/>
          </w:tcPr>
          <w:p>
            <w:pPr>
              <w:spacing w:after="0"/>
              <w:rPr>
                <w:sz w:val="12"/>
                <w:szCs w:val="12"/>
                <w:color w:val="auto"/>
              </w:rPr>
            </w:pPr>
          </w:p>
        </w:tc>
        <w:tc>
          <w:tcPr>
            <w:tcW w:w="1360" w:type="dxa"/>
            <w:vAlign w:val="bottom"/>
            <w:vMerge w:val="continue"/>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E7E7E8"/>
          </w:tcPr>
          <w:p>
            <w:pPr>
              <w:spacing w:after="0"/>
              <w:rPr>
                <w:sz w:val="12"/>
                <w:szCs w:val="12"/>
                <w:color w:val="auto"/>
              </w:rPr>
            </w:pPr>
          </w:p>
        </w:tc>
        <w:tc>
          <w:tcPr>
            <w:tcW w:w="2840" w:type="dxa"/>
            <w:vAlign w:val="bottom"/>
            <w:shd w:val="clear" w:color="auto" w:fill="E7E7E8"/>
          </w:tcPr>
          <w:p>
            <w:pPr>
              <w:jc w:val="center"/>
              <w:ind w:left="1204"/>
              <w:spacing w:after="0" w:line="149" w:lineRule="exact"/>
              <w:rPr>
                <w:sz w:val="20"/>
                <w:szCs w:val="20"/>
                <w:color w:val="auto"/>
              </w:rPr>
            </w:pPr>
            <w:r>
              <w:rPr>
                <w:rFonts w:ascii="Arial" w:cs="Arial" w:eastAsia="Arial" w:hAnsi="Arial"/>
                <w:sz w:val="14"/>
                <w:szCs w:val="14"/>
                <w:b w:val="1"/>
                <w:bCs w:val="1"/>
                <w:color w:val="0033A0"/>
                <w:w w:val="94"/>
              </w:rPr>
              <w:t>in Last Fiscal</w:t>
            </w:r>
          </w:p>
        </w:tc>
        <w:tc>
          <w:tcPr>
            <w:tcW w:w="134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92"/>
              </w:rPr>
              <w:t>in Last Fiscal</w:t>
            </w:r>
          </w:p>
        </w:tc>
        <w:tc>
          <w:tcPr>
            <w:tcW w:w="148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96"/>
              </w:rPr>
              <w:t>in</w:t>
            </w:r>
          </w:p>
        </w:tc>
        <w:tc>
          <w:tcPr>
            <w:tcW w:w="1420" w:type="dxa"/>
            <w:vAlign w:val="bottom"/>
            <w:shd w:val="clear" w:color="auto" w:fill="E7E7E8"/>
          </w:tcPr>
          <w:p>
            <w:pPr>
              <w:jc w:val="center"/>
              <w:ind w:right="63"/>
              <w:spacing w:after="0" w:line="149" w:lineRule="exact"/>
              <w:rPr>
                <w:sz w:val="20"/>
                <w:szCs w:val="20"/>
                <w:color w:val="auto"/>
              </w:rPr>
            </w:pPr>
            <w:r>
              <w:rPr>
                <w:rFonts w:ascii="Arial" w:cs="Arial" w:eastAsia="Arial" w:hAnsi="Arial"/>
                <w:sz w:val="14"/>
                <w:szCs w:val="14"/>
                <w:b w:val="1"/>
                <w:bCs w:val="1"/>
                <w:color w:val="0033A0"/>
                <w:w w:val="97"/>
              </w:rPr>
              <w:t>Withdrawals/</w:t>
            </w:r>
          </w:p>
        </w:tc>
        <w:tc>
          <w:tcPr>
            <w:tcW w:w="1360" w:type="dxa"/>
            <w:vAlign w:val="bottom"/>
            <w:shd w:val="clear" w:color="auto" w:fill="E7E7E8"/>
          </w:tcPr>
          <w:p>
            <w:pPr>
              <w:jc w:val="center"/>
              <w:ind w:right="3"/>
              <w:spacing w:after="0" w:line="149" w:lineRule="exact"/>
              <w:rPr>
                <w:sz w:val="20"/>
                <w:szCs w:val="20"/>
                <w:color w:val="auto"/>
              </w:rPr>
            </w:pPr>
            <w:r>
              <w:rPr>
                <w:rFonts w:ascii="Arial" w:cs="Arial" w:eastAsia="Arial" w:hAnsi="Arial"/>
                <w:sz w:val="14"/>
                <w:szCs w:val="14"/>
                <w:b w:val="1"/>
                <w:bCs w:val="1"/>
                <w:color w:val="0033A0"/>
                <w:w w:val="93"/>
              </w:rPr>
              <w:t>Balance at Last</w:t>
            </w:r>
          </w:p>
        </w:tc>
        <w:tc>
          <w:tcPr>
            <w:tcW w:w="0" w:type="dxa"/>
            <w:vAlign w:val="bottom"/>
          </w:tcPr>
          <w:p>
            <w:pPr>
              <w:spacing w:after="0"/>
              <w:rPr>
                <w:sz w:val="1"/>
                <w:szCs w:val="1"/>
                <w:color w:val="auto"/>
              </w:rPr>
            </w:pPr>
          </w:p>
        </w:tc>
      </w:tr>
      <w:tr>
        <w:trPr>
          <w:trHeight w:val="148"/>
        </w:trPr>
        <w:tc>
          <w:tcPr>
            <w:tcW w:w="280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2840" w:type="dxa"/>
            <w:vAlign w:val="bottom"/>
            <w:shd w:val="clear" w:color="auto" w:fill="E7E7E8"/>
          </w:tcPr>
          <w:p>
            <w:pPr>
              <w:jc w:val="center"/>
              <w:ind w:left="1204"/>
              <w:spacing w:after="0" w:line="149" w:lineRule="exact"/>
              <w:rPr>
                <w:sz w:val="20"/>
                <w:szCs w:val="20"/>
                <w:color w:val="auto"/>
              </w:rPr>
            </w:pPr>
            <w:r>
              <w:rPr>
                <w:rFonts w:ascii="Arial" w:cs="Arial" w:eastAsia="Arial" w:hAnsi="Arial"/>
                <w:sz w:val="14"/>
                <w:szCs w:val="14"/>
                <w:b w:val="1"/>
                <w:bCs w:val="1"/>
                <w:color w:val="0033A0"/>
                <w:w w:val="92"/>
              </w:rPr>
              <w:t>Year</w:t>
            </w:r>
          </w:p>
        </w:tc>
        <w:tc>
          <w:tcPr>
            <w:tcW w:w="1340" w:type="dxa"/>
            <w:vAlign w:val="bottom"/>
            <w:shd w:val="clear" w:color="auto" w:fill="E7E7E8"/>
          </w:tcPr>
          <w:p>
            <w:pPr>
              <w:jc w:val="center"/>
              <w:ind w:right="24"/>
              <w:spacing w:after="0" w:line="149" w:lineRule="exact"/>
              <w:rPr>
                <w:sz w:val="20"/>
                <w:szCs w:val="20"/>
                <w:color w:val="auto"/>
              </w:rPr>
            </w:pPr>
            <w:r>
              <w:rPr>
                <w:rFonts w:ascii="Arial" w:cs="Arial" w:eastAsia="Arial" w:hAnsi="Arial"/>
                <w:sz w:val="14"/>
                <w:szCs w:val="14"/>
                <w:b w:val="1"/>
                <w:bCs w:val="1"/>
                <w:color w:val="0033A0"/>
                <w:w w:val="92"/>
              </w:rPr>
              <w:t>Year</w:t>
            </w:r>
          </w:p>
        </w:tc>
        <w:tc>
          <w:tcPr>
            <w:tcW w:w="1480" w:type="dxa"/>
            <w:vAlign w:val="bottom"/>
            <w:shd w:val="clear" w:color="auto" w:fill="E7E7E8"/>
          </w:tcPr>
          <w:p>
            <w:pPr>
              <w:jc w:val="center"/>
              <w:ind w:right="4"/>
              <w:spacing w:after="0" w:line="149" w:lineRule="exact"/>
              <w:rPr>
                <w:sz w:val="20"/>
                <w:szCs w:val="20"/>
                <w:color w:val="auto"/>
              </w:rPr>
            </w:pPr>
            <w:r>
              <w:rPr>
                <w:rFonts w:ascii="Arial" w:cs="Arial" w:eastAsia="Arial" w:hAnsi="Arial"/>
                <w:sz w:val="14"/>
                <w:szCs w:val="14"/>
                <w:b w:val="1"/>
                <w:bCs w:val="1"/>
                <w:color w:val="0033A0"/>
                <w:w w:val="93"/>
              </w:rPr>
              <w:t>Last Fiscal Year</w:t>
            </w:r>
          </w:p>
        </w:tc>
        <w:tc>
          <w:tcPr>
            <w:tcW w:w="1420" w:type="dxa"/>
            <w:vAlign w:val="bottom"/>
            <w:shd w:val="clear" w:color="auto" w:fill="E7E7E8"/>
          </w:tcPr>
          <w:p>
            <w:pPr>
              <w:jc w:val="center"/>
              <w:ind w:right="83"/>
              <w:spacing w:after="0" w:line="149" w:lineRule="exact"/>
              <w:rPr>
                <w:sz w:val="20"/>
                <w:szCs w:val="20"/>
                <w:color w:val="auto"/>
              </w:rPr>
            </w:pPr>
            <w:r>
              <w:rPr>
                <w:rFonts w:ascii="Arial" w:cs="Arial" w:eastAsia="Arial" w:hAnsi="Arial"/>
                <w:sz w:val="14"/>
                <w:szCs w:val="14"/>
                <w:b w:val="1"/>
                <w:bCs w:val="1"/>
                <w:color w:val="0033A0"/>
                <w:w w:val="94"/>
              </w:rPr>
              <w:t>Distributions</w:t>
            </w:r>
          </w:p>
        </w:tc>
        <w:tc>
          <w:tcPr>
            <w:tcW w:w="1360" w:type="dxa"/>
            <w:vAlign w:val="bottom"/>
            <w:shd w:val="clear" w:color="auto" w:fill="E7E7E8"/>
          </w:tcPr>
          <w:p>
            <w:pPr>
              <w:jc w:val="center"/>
              <w:ind w:right="3"/>
              <w:spacing w:after="0" w:line="149" w:lineRule="exact"/>
              <w:rPr>
                <w:sz w:val="20"/>
                <w:szCs w:val="20"/>
                <w:color w:val="auto"/>
              </w:rPr>
            </w:pPr>
            <w:r>
              <w:rPr>
                <w:rFonts w:ascii="Arial" w:cs="Arial" w:eastAsia="Arial" w:hAnsi="Arial"/>
                <w:sz w:val="14"/>
                <w:szCs w:val="14"/>
                <w:b w:val="1"/>
                <w:bCs w:val="1"/>
                <w:color w:val="0033A0"/>
                <w:w w:val="92"/>
              </w:rPr>
              <w:t>Fiscal Year End</w:t>
            </w:r>
          </w:p>
        </w:tc>
        <w:tc>
          <w:tcPr>
            <w:tcW w:w="0" w:type="dxa"/>
            <w:vAlign w:val="bottom"/>
          </w:tcPr>
          <w:p>
            <w:pPr>
              <w:spacing w:after="0"/>
              <w:rPr>
                <w:sz w:val="1"/>
                <w:szCs w:val="1"/>
                <w:color w:val="auto"/>
              </w:rPr>
            </w:pPr>
          </w:p>
        </w:tc>
      </w:tr>
      <w:tr>
        <w:trPr>
          <w:trHeight w:val="178"/>
        </w:trPr>
        <w:tc>
          <w:tcPr>
            <w:tcW w:w="2800" w:type="dxa"/>
            <w:vAlign w:val="bottom"/>
            <w:tcBorders>
              <w:bottom w:val="single" w:sz="8" w:color="BFBFBF"/>
            </w:tcBorders>
            <w:vMerge w:val="continue"/>
            <w:shd w:val="clear" w:color="auto" w:fill="E7E7E8"/>
          </w:tcPr>
          <w:p>
            <w:pPr>
              <w:spacing w:after="0"/>
              <w:rPr>
                <w:sz w:val="15"/>
                <w:szCs w:val="15"/>
                <w:color w:val="auto"/>
              </w:rPr>
            </w:pPr>
          </w:p>
        </w:tc>
        <w:tc>
          <w:tcPr>
            <w:tcW w:w="2840" w:type="dxa"/>
            <w:vAlign w:val="bottom"/>
            <w:tcBorders>
              <w:bottom w:val="single" w:sz="8" w:color="BFBFBF"/>
            </w:tcBorders>
            <w:shd w:val="clear" w:color="auto" w:fill="E7E7E8"/>
          </w:tcPr>
          <w:p>
            <w:pPr>
              <w:jc w:val="center"/>
              <w:ind w:left="1204"/>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(1)</w:t>
            </w:r>
          </w:p>
        </w:tc>
        <w:tc>
          <w:tcPr>
            <w:tcW w:w="1340" w:type="dxa"/>
            <w:vAlign w:val="bottom"/>
            <w:tcBorders>
              <w:bottom w:val="single" w:sz="8" w:color="BFBFBF"/>
            </w:tcBorders>
            <w:shd w:val="clear" w:color="auto" w:fill="E7E7E8"/>
          </w:tcPr>
          <w:p>
            <w:pPr>
              <w:jc w:val="center"/>
              <w:ind w:right="4"/>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(2)</w:t>
            </w:r>
          </w:p>
        </w:tc>
        <w:tc>
          <w:tcPr>
            <w:tcW w:w="1480" w:type="dxa"/>
            <w:vAlign w:val="bottom"/>
            <w:tcBorders>
              <w:bottom w:val="single" w:sz="8" w:color="BFBFBF"/>
            </w:tcBorders>
            <w:shd w:val="clear" w:color="auto" w:fill="E7E7E8"/>
          </w:tcPr>
          <w:p>
            <w:pPr>
              <w:jc w:val="center"/>
              <w:ind w:right="4"/>
              <w:spacing w:after="0"/>
              <w:rPr>
                <w:sz w:val="20"/>
                <w:szCs w:val="20"/>
                <w:color w:val="auto"/>
              </w:rPr>
            </w:pPr>
            <w:r>
              <w:rPr>
                <w:rFonts w:ascii="Arial" w:cs="Arial" w:eastAsia="Arial" w:hAnsi="Arial"/>
                <w:sz w:val="14"/>
                <w:szCs w:val="14"/>
                <w:b w:val="1"/>
                <w:bCs w:val="1"/>
                <w:color w:val="0033A0"/>
                <w:w w:val="93"/>
              </w:rPr>
              <w:t>($)</w:t>
            </w:r>
          </w:p>
        </w:tc>
        <w:tc>
          <w:tcPr>
            <w:tcW w:w="1420" w:type="dxa"/>
            <w:vAlign w:val="bottom"/>
            <w:tcBorders>
              <w:bottom w:val="single" w:sz="8" w:color="BFBFBF"/>
            </w:tcBorders>
            <w:shd w:val="clear" w:color="auto" w:fill="E7E7E8"/>
          </w:tcPr>
          <w:p>
            <w:pPr>
              <w:jc w:val="center"/>
              <w:ind w:right="83"/>
              <w:spacing w:after="0"/>
              <w:rPr>
                <w:sz w:val="20"/>
                <w:szCs w:val="20"/>
                <w:color w:val="auto"/>
              </w:rPr>
            </w:pPr>
            <w:r>
              <w:rPr>
                <w:rFonts w:ascii="Arial" w:cs="Arial" w:eastAsia="Arial" w:hAnsi="Arial"/>
                <w:sz w:val="14"/>
                <w:szCs w:val="14"/>
                <w:b w:val="1"/>
                <w:bCs w:val="1"/>
                <w:color w:val="0033A0"/>
              </w:rPr>
              <w:t>($)</w:t>
            </w:r>
          </w:p>
        </w:tc>
        <w:tc>
          <w:tcPr>
            <w:tcW w:w="1360" w:type="dxa"/>
            <w:vAlign w:val="bottom"/>
            <w:tcBorders>
              <w:bottom w:val="single" w:sz="8" w:color="BFBFBF"/>
            </w:tcBorders>
            <w:shd w:val="clear" w:color="auto" w:fill="E7E7E8"/>
          </w:tcPr>
          <w:p>
            <w:pPr>
              <w:jc w:val="center"/>
              <w:ind w:right="3"/>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(3)</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2840" w:type="dxa"/>
            <w:vAlign w:val="bottom"/>
            <w:tcBorders>
              <w:bottom w:val="single" w:sz="8" w:color="BFBFBF"/>
            </w:tcBorders>
          </w:tcPr>
          <w:p>
            <w:pPr>
              <w:jc w:val="right"/>
              <w:ind w:right="124"/>
              <w:spacing w:after="0"/>
              <w:rPr>
                <w:sz w:val="20"/>
                <w:szCs w:val="20"/>
                <w:color w:val="auto"/>
              </w:rPr>
            </w:pPr>
            <w:r>
              <w:rPr>
                <w:rFonts w:ascii="Arial" w:cs="Arial" w:eastAsia="Arial" w:hAnsi="Arial"/>
                <w:sz w:val="16"/>
                <w:szCs w:val="16"/>
                <w:color w:val="auto"/>
              </w:rPr>
              <w:t>162,982</w:t>
            </w:r>
          </w:p>
        </w:tc>
        <w:tc>
          <w:tcPr>
            <w:tcW w:w="1340" w:type="dxa"/>
            <w:vAlign w:val="bottom"/>
            <w:tcBorders>
              <w:bottom w:val="single" w:sz="8" w:color="BFBFBF"/>
            </w:tcBorders>
          </w:tcPr>
          <w:p>
            <w:pPr>
              <w:jc w:val="right"/>
              <w:ind w:right="64"/>
              <w:spacing w:after="0"/>
              <w:rPr>
                <w:sz w:val="20"/>
                <w:szCs w:val="20"/>
                <w:color w:val="auto"/>
              </w:rPr>
            </w:pPr>
            <w:r>
              <w:rPr>
                <w:rFonts w:ascii="Arial" w:cs="Arial" w:eastAsia="Arial" w:hAnsi="Arial"/>
                <w:sz w:val="16"/>
                <w:szCs w:val="16"/>
                <w:color w:val="auto"/>
              </w:rPr>
              <w:t>62,563</w:t>
            </w:r>
          </w:p>
        </w:tc>
        <w:tc>
          <w:tcPr>
            <w:tcW w:w="1480" w:type="dxa"/>
            <w:vAlign w:val="bottom"/>
            <w:tcBorders>
              <w:bottom w:val="single" w:sz="8" w:color="BFBFBF"/>
            </w:tcBorders>
          </w:tcPr>
          <w:p>
            <w:pPr>
              <w:jc w:val="right"/>
              <w:ind w:right="124"/>
              <w:spacing w:after="0"/>
              <w:rPr>
                <w:sz w:val="20"/>
                <w:szCs w:val="20"/>
                <w:color w:val="auto"/>
              </w:rPr>
            </w:pPr>
            <w:r>
              <w:rPr>
                <w:rFonts w:ascii="Arial" w:cs="Arial" w:eastAsia="Arial" w:hAnsi="Arial"/>
                <w:sz w:val="16"/>
                <w:szCs w:val="16"/>
                <w:color w:val="auto"/>
              </w:rPr>
              <w:t>180,668</w:t>
            </w:r>
          </w:p>
        </w:tc>
        <w:tc>
          <w:tcPr>
            <w:tcW w:w="1420" w:type="dxa"/>
            <w:vAlign w:val="bottom"/>
            <w:tcBorders>
              <w:bottom w:val="single" w:sz="8" w:color="BFBFBF"/>
            </w:tcBorders>
          </w:tcPr>
          <w:p>
            <w:pPr>
              <w:jc w:val="right"/>
              <w:ind w:right="123"/>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63"/>
              <w:spacing w:after="0"/>
              <w:rPr>
                <w:sz w:val="20"/>
                <w:szCs w:val="20"/>
                <w:color w:val="auto"/>
              </w:rPr>
            </w:pPr>
            <w:r>
              <w:rPr>
                <w:rFonts w:ascii="Arial" w:cs="Arial" w:eastAsia="Arial" w:hAnsi="Arial"/>
                <w:sz w:val="16"/>
                <w:szCs w:val="16"/>
                <w:color w:val="auto"/>
              </w:rPr>
              <w:t>1,092,039</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2840" w:type="dxa"/>
            <w:vAlign w:val="bottom"/>
            <w:tcBorders>
              <w:bottom w:val="single" w:sz="8" w:color="BFBFBF"/>
            </w:tcBorders>
            <w:shd w:val="clear" w:color="auto" w:fill="F3F3F3"/>
          </w:tcPr>
          <w:p>
            <w:pPr>
              <w:jc w:val="right"/>
              <w:ind w:right="124"/>
              <w:spacing w:after="0"/>
              <w:rPr>
                <w:sz w:val="20"/>
                <w:szCs w:val="20"/>
                <w:color w:val="auto"/>
              </w:rPr>
            </w:pPr>
            <w:r>
              <w:rPr>
                <w:rFonts w:ascii="Arial" w:cs="Arial" w:eastAsia="Arial" w:hAnsi="Arial"/>
                <w:sz w:val="16"/>
                <w:szCs w:val="16"/>
                <w:color w:val="auto"/>
              </w:rPr>
              <w:t>43,372</w:t>
            </w:r>
          </w:p>
        </w:tc>
        <w:tc>
          <w:tcPr>
            <w:tcW w:w="1340" w:type="dxa"/>
            <w:vAlign w:val="bottom"/>
            <w:tcBorders>
              <w:bottom w:val="single" w:sz="8" w:color="BFBFBF"/>
            </w:tcBorders>
            <w:shd w:val="clear" w:color="auto" w:fill="F3F3F3"/>
          </w:tcPr>
          <w:p>
            <w:pPr>
              <w:jc w:val="right"/>
              <w:ind w:right="64"/>
              <w:spacing w:after="0"/>
              <w:rPr>
                <w:sz w:val="20"/>
                <w:szCs w:val="20"/>
                <w:color w:val="auto"/>
              </w:rPr>
            </w:pPr>
            <w:r>
              <w:rPr>
                <w:rFonts w:ascii="Arial" w:cs="Arial" w:eastAsia="Arial" w:hAnsi="Arial"/>
                <w:sz w:val="16"/>
                <w:szCs w:val="16"/>
                <w:color w:val="auto"/>
              </w:rPr>
              <w:t>25,300</w:t>
            </w:r>
          </w:p>
        </w:tc>
        <w:tc>
          <w:tcPr>
            <w:tcW w:w="1480" w:type="dxa"/>
            <w:vAlign w:val="bottom"/>
            <w:tcBorders>
              <w:bottom w:val="single" w:sz="8" w:color="BFBFBF"/>
            </w:tcBorders>
            <w:shd w:val="clear" w:color="auto" w:fill="F3F3F3"/>
          </w:tcPr>
          <w:p>
            <w:pPr>
              <w:jc w:val="right"/>
              <w:ind w:right="124"/>
              <w:spacing w:after="0"/>
              <w:rPr>
                <w:sz w:val="20"/>
                <w:szCs w:val="20"/>
                <w:color w:val="auto"/>
              </w:rPr>
            </w:pPr>
            <w:r>
              <w:rPr>
                <w:rFonts w:ascii="Arial" w:cs="Arial" w:eastAsia="Arial" w:hAnsi="Arial"/>
                <w:sz w:val="16"/>
                <w:szCs w:val="16"/>
                <w:color w:val="auto"/>
              </w:rPr>
              <w:t>416,007</w:t>
            </w:r>
          </w:p>
        </w:tc>
        <w:tc>
          <w:tcPr>
            <w:tcW w:w="1420" w:type="dxa"/>
            <w:vAlign w:val="bottom"/>
            <w:tcBorders>
              <w:bottom w:val="single" w:sz="8" w:color="BFBFBF"/>
            </w:tcBorders>
            <w:shd w:val="clear" w:color="auto" w:fill="F3F3F3"/>
          </w:tcPr>
          <w:p>
            <w:pPr>
              <w:jc w:val="right"/>
              <w:ind w:right="63"/>
              <w:spacing w:after="0"/>
              <w:rPr>
                <w:sz w:val="20"/>
                <w:szCs w:val="20"/>
                <w:color w:val="auto"/>
              </w:rPr>
            </w:pPr>
            <w:r>
              <w:rPr>
                <w:rFonts w:ascii="Arial" w:cs="Arial" w:eastAsia="Arial" w:hAnsi="Arial"/>
                <w:sz w:val="16"/>
                <w:szCs w:val="16"/>
                <w:color w:val="auto"/>
              </w:rPr>
              <w:t>(3,580)</w:t>
            </w:r>
          </w:p>
        </w:tc>
        <w:tc>
          <w:tcPr>
            <w:tcW w:w="1360" w:type="dxa"/>
            <w:vAlign w:val="bottom"/>
            <w:tcBorders>
              <w:bottom w:val="single" w:sz="8" w:color="BFBFBF"/>
            </w:tcBorders>
            <w:shd w:val="clear" w:color="auto" w:fill="F3F3F3"/>
          </w:tcPr>
          <w:p>
            <w:pPr>
              <w:jc w:val="right"/>
              <w:ind w:right="63"/>
              <w:spacing w:after="0"/>
              <w:rPr>
                <w:sz w:val="20"/>
                <w:szCs w:val="20"/>
                <w:color w:val="auto"/>
              </w:rPr>
            </w:pPr>
            <w:r>
              <w:rPr>
                <w:rFonts w:ascii="Arial" w:cs="Arial" w:eastAsia="Arial" w:hAnsi="Arial"/>
                <w:sz w:val="16"/>
                <w:szCs w:val="16"/>
                <w:color w:val="auto"/>
              </w:rPr>
              <w:t>2,370,241</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2840" w:type="dxa"/>
            <w:vAlign w:val="bottom"/>
            <w:tcBorders>
              <w:bottom w:val="single" w:sz="8" w:color="BFBFBF"/>
            </w:tcBorders>
          </w:tcPr>
          <w:p>
            <w:pPr>
              <w:jc w:val="right"/>
              <w:ind w:right="124"/>
              <w:spacing w:after="0"/>
              <w:rPr>
                <w:sz w:val="20"/>
                <w:szCs w:val="20"/>
                <w:color w:val="auto"/>
              </w:rPr>
            </w:pPr>
            <w:r>
              <w:rPr>
                <w:rFonts w:ascii="Arial" w:cs="Arial" w:eastAsia="Arial" w:hAnsi="Arial"/>
                <w:sz w:val="16"/>
                <w:szCs w:val="16"/>
                <w:color w:val="auto"/>
              </w:rPr>
              <w:t>258,782</w:t>
            </w:r>
          </w:p>
        </w:tc>
        <w:tc>
          <w:tcPr>
            <w:tcW w:w="1340" w:type="dxa"/>
            <w:vAlign w:val="bottom"/>
            <w:tcBorders>
              <w:bottom w:val="single" w:sz="8" w:color="BFBFBF"/>
            </w:tcBorders>
          </w:tcPr>
          <w:p>
            <w:pPr>
              <w:jc w:val="right"/>
              <w:ind w:right="64"/>
              <w:spacing w:after="0"/>
              <w:rPr>
                <w:sz w:val="20"/>
                <w:szCs w:val="20"/>
                <w:color w:val="auto"/>
              </w:rPr>
            </w:pPr>
            <w:r>
              <w:rPr>
                <w:rFonts w:ascii="Arial" w:cs="Arial" w:eastAsia="Arial" w:hAnsi="Arial"/>
                <w:sz w:val="16"/>
                <w:szCs w:val="16"/>
                <w:color w:val="auto"/>
              </w:rPr>
              <w:t>29,585</w:t>
            </w:r>
          </w:p>
        </w:tc>
        <w:tc>
          <w:tcPr>
            <w:tcW w:w="1480" w:type="dxa"/>
            <w:vAlign w:val="bottom"/>
            <w:tcBorders>
              <w:bottom w:val="single" w:sz="8" w:color="BFBFBF"/>
            </w:tcBorders>
          </w:tcPr>
          <w:p>
            <w:pPr>
              <w:jc w:val="right"/>
              <w:ind w:right="124"/>
              <w:spacing w:after="0"/>
              <w:rPr>
                <w:sz w:val="20"/>
                <w:szCs w:val="20"/>
                <w:color w:val="auto"/>
              </w:rPr>
            </w:pPr>
            <w:r>
              <w:rPr>
                <w:rFonts w:ascii="Arial" w:cs="Arial" w:eastAsia="Arial" w:hAnsi="Arial"/>
                <w:sz w:val="16"/>
                <w:szCs w:val="16"/>
                <w:color w:val="auto"/>
              </w:rPr>
              <w:t>216,433</w:t>
            </w:r>
          </w:p>
        </w:tc>
        <w:tc>
          <w:tcPr>
            <w:tcW w:w="1420" w:type="dxa"/>
            <w:vAlign w:val="bottom"/>
            <w:tcBorders>
              <w:bottom w:val="single" w:sz="8" w:color="BFBFBF"/>
            </w:tcBorders>
          </w:tcPr>
          <w:p>
            <w:pPr>
              <w:jc w:val="right"/>
              <w:ind w:right="123"/>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63"/>
              <w:spacing w:after="0"/>
              <w:rPr>
                <w:sz w:val="20"/>
                <w:szCs w:val="20"/>
                <w:color w:val="auto"/>
              </w:rPr>
            </w:pPr>
            <w:r>
              <w:rPr>
                <w:rFonts w:ascii="Arial" w:cs="Arial" w:eastAsia="Arial" w:hAnsi="Arial"/>
                <w:sz w:val="16"/>
                <w:szCs w:val="16"/>
                <w:color w:val="auto"/>
              </w:rPr>
              <w:t>1,179,025</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2840" w:type="dxa"/>
            <w:vAlign w:val="bottom"/>
            <w:tcBorders>
              <w:bottom w:val="single" w:sz="8" w:color="BFBFBF"/>
            </w:tcBorders>
            <w:shd w:val="clear" w:color="auto" w:fill="F3F3F3"/>
          </w:tcPr>
          <w:p>
            <w:pPr>
              <w:jc w:val="right"/>
              <w:ind w:right="124"/>
              <w:spacing w:after="0"/>
              <w:rPr>
                <w:sz w:val="20"/>
                <w:szCs w:val="20"/>
                <w:color w:val="auto"/>
              </w:rPr>
            </w:pPr>
            <w:r>
              <w:rPr>
                <w:rFonts w:ascii="Arial" w:cs="Arial" w:eastAsia="Arial" w:hAnsi="Arial"/>
                <w:sz w:val="16"/>
                <w:szCs w:val="16"/>
                <w:color w:val="auto"/>
              </w:rPr>
              <w:t>184,333</w:t>
            </w:r>
          </w:p>
        </w:tc>
        <w:tc>
          <w:tcPr>
            <w:tcW w:w="1340" w:type="dxa"/>
            <w:vAlign w:val="bottom"/>
            <w:tcBorders>
              <w:bottom w:val="single" w:sz="8" w:color="BFBFBF"/>
            </w:tcBorders>
            <w:shd w:val="clear" w:color="auto" w:fill="F3F3F3"/>
          </w:tcPr>
          <w:p>
            <w:pPr>
              <w:jc w:val="right"/>
              <w:ind w:right="64"/>
              <w:spacing w:after="0"/>
              <w:rPr>
                <w:sz w:val="20"/>
                <w:szCs w:val="20"/>
                <w:color w:val="auto"/>
              </w:rPr>
            </w:pPr>
            <w:r>
              <w:rPr>
                <w:rFonts w:ascii="Arial" w:cs="Arial" w:eastAsia="Arial" w:hAnsi="Arial"/>
                <w:sz w:val="16"/>
                <w:szCs w:val="16"/>
                <w:color w:val="auto"/>
              </w:rPr>
              <w:t>18,899</w:t>
            </w:r>
          </w:p>
        </w:tc>
        <w:tc>
          <w:tcPr>
            <w:tcW w:w="1480" w:type="dxa"/>
            <w:vAlign w:val="bottom"/>
            <w:tcBorders>
              <w:bottom w:val="single" w:sz="8" w:color="BFBFBF"/>
            </w:tcBorders>
            <w:shd w:val="clear" w:color="auto" w:fill="F3F3F3"/>
          </w:tcPr>
          <w:p>
            <w:pPr>
              <w:jc w:val="right"/>
              <w:ind w:right="124"/>
              <w:spacing w:after="0"/>
              <w:rPr>
                <w:sz w:val="20"/>
                <w:szCs w:val="20"/>
                <w:color w:val="auto"/>
              </w:rPr>
            </w:pPr>
            <w:r>
              <w:rPr>
                <w:rFonts w:ascii="Arial" w:cs="Arial" w:eastAsia="Arial" w:hAnsi="Arial"/>
                <w:sz w:val="16"/>
                <w:szCs w:val="16"/>
                <w:color w:val="auto"/>
              </w:rPr>
              <w:t>179,849</w:t>
            </w:r>
          </w:p>
        </w:tc>
        <w:tc>
          <w:tcPr>
            <w:tcW w:w="1420" w:type="dxa"/>
            <w:vAlign w:val="bottom"/>
            <w:tcBorders>
              <w:bottom w:val="single" w:sz="8" w:color="BFBFBF"/>
            </w:tcBorders>
            <w:shd w:val="clear" w:color="auto" w:fill="F3F3F3"/>
          </w:tcPr>
          <w:p>
            <w:pPr>
              <w:jc w:val="right"/>
              <w:ind w:right="123"/>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shd w:val="clear" w:color="auto" w:fill="F3F3F3"/>
          </w:tcPr>
          <w:p>
            <w:pPr>
              <w:jc w:val="right"/>
              <w:ind w:right="63"/>
              <w:spacing w:after="0"/>
              <w:rPr>
                <w:sz w:val="20"/>
                <w:szCs w:val="20"/>
                <w:color w:val="auto"/>
              </w:rPr>
            </w:pPr>
            <w:r>
              <w:rPr>
                <w:rFonts w:ascii="Arial" w:cs="Arial" w:eastAsia="Arial" w:hAnsi="Arial"/>
                <w:sz w:val="16"/>
                <w:szCs w:val="16"/>
                <w:color w:val="auto"/>
              </w:rPr>
              <w:t>1,507,924</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2840" w:type="dxa"/>
            <w:vAlign w:val="bottom"/>
            <w:tcBorders>
              <w:bottom w:val="single" w:sz="8" w:color="BFBFBF"/>
            </w:tcBorders>
          </w:tcPr>
          <w:p>
            <w:pPr>
              <w:jc w:val="right"/>
              <w:ind w:right="124"/>
              <w:spacing w:after="0"/>
              <w:rPr>
                <w:sz w:val="20"/>
                <w:szCs w:val="20"/>
                <w:color w:val="auto"/>
              </w:rPr>
            </w:pPr>
            <w:r>
              <w:rPr>
                <w:rFonts w:ascii="Arial" w:cs="Arial" w:eastAsia="Arial" w:hAnsi="Arial"/>
                <w:sz w:val="16"/>
                <w:szCs w:val="16"/>
                <w:color w:val="auto"/>
              </w:rPr>
              <w:t>15,229</w:t>
            </w:r>
          </w:p>
        </w:tc>
        <w:tc>
          <w:tcPr>
            <w:tcW w:w="1340" w:type="dxa"/>
            <w:vAlign w:val="bottom"/>
            <w:tcBorders>
              <w:bottom w:val="single" w:sz="8" w:color="BFBFBF"/>
            </w:tcBorders>
          </w:tcPr>
          <w:p>
            <w:pPr>
              <w:jc w:val="right"/>
              <w:ind w:right="64"/>
              <w:spacing w:after="0"/>
              <w:rPr>
                <w:sz w:val="20"/>
                <w:szCs w:val="20"/>
                <w:color w:val="auto"/>
              </w:rPr>
            </w:pPr>
            <w:r>
              <w:rPr>
                <w:rFonts w:ascii="Arial" w:cs="Arial" w:eastAsia="Arial" w:hAnsi="Arial"/>
                <w:sz w:val="16"/>
                <w:szCs w:val="16"/>
                <w:color w:val="auto"/>
              </w:rPr>
              <w:t>8,884</w:t>
            </w:r>
          </w:p>
        </w:tc>
        <w:tc>
          <w:tcPr>
            <w:tcW w:w="1480" w:type="dxa"/>
            <w:vAlign w:val="bottom"/>
            <w:tcBorders>
              <w:bottom w:val="single" w:sz="8" w:color="BFBFBF"/>
            </w:tcBorders>
          </w:tcPr>
          <w:p>
            <w:pPr>
              <w:jc w:val="right"/>
              <w:ind w:right="124"/>
              <w:spacing w:after="0"/>
              <w:rPr>
                <w:sz w:val="20"/>
                <w:szCs w:val="20"/>
                <w:color w:val="auto"/>
              </w:rPr>
            </w:pPr>
            <w:r>
              <w:rPr>
                <w:rFonts w:ascii="Arial" w:cs="Arial" w:eastAsia="Arial" w:hAnsi="Arial"/>
                <w:sz w:val="16"/>
                <w:szCs w:val="16"/>
                <w:color w:val="auto"/>
              </w:rPr>
              <w:t>15,350</w:t>
            </w:r>
          </w:p>
        </w:tc>
        <w:tc>
          <w:tcPr>
            <w:tcW w:w="1420" w:type="dxa"/>
            <w:vAlign w:val="bottom"/>
            <w:tcBorders>
              <w:bottom w:val="single" w:sz="8" w:color="BFBFBF"/>
            </w:tcBorders>
          </w:tcPr>
          <w:p>
            <w:pPr>
              <w:jc w:val="right"/>
              <w:ind w:right="123"/>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BFBF"/>
            </w:tcBorders>
          </w:tcPr>
          <w:p>
            <w:pPr>
              <w:jc w:val="right"/>
              <w:ind w:right="63"/>
              <w:spacing w:after="0"/>
              <w:rPr>
                <w:sz w:val="20"/>
                <w:szCs w:val="20"/>
                <w:color w:val="auto"/>
              </w:rPr>
            </w:pPr>
            <w:r>
              <w:rPr>
                <w:rFonts w:ascii="Arial" w:cs="Arial" w:eastAsia="Arial" w:hAnsi="Arial"/>
                <w:sz w:val="16"/>
                <w:szCs w:val="16"/>
                <w:color w:val="auto"/>
              </w:rPr>
              <w:t>44,732</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hanging="252"/>
        <w:spacing w:after="0" w:line="253"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base salary and short-term incentive deferred by each named executive officer during 2020. The deferrals are included in the amounts reflected in the "Salary" and "Non-Equity Incentive Plan Compensation" columns of the "2020 Summary Compensation Table."</w:t>
      </w:r>
    </w:p>
    <w:p>
      <w:pPr>
        <w:spacing w:after="0" w:line="65" w:lineRule="exact"/>
        <w:rPr>
          <w:rFonts w:ascii="Arial" w:cs="Arial" w:eastAsia="Arial" w:hAnsi="Arial"/>
          <w:sz w:val="14"/>
          <w:szCs w:val="14"/>
          <w:color w:val="auto"/>
        </w:rPr>
      </w:pPr>
    </w:p>
    <w:p>
      <w:pPr>
        <w:ind w:left="260" w:hanging="252"/>
        <w:spacing w:after="0" w:line="253"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matching contributions made under the Executive Deferred Compensation Plan. The matching contribution is included in the "All Other Compensation" column of the "2020 Summary Compensation Table."</w:t>
      </w:r>
    </w:p>
    <w:p>
      <w:pPr>
        <w:spacing w:after="0" w:line="65" w:lineRule="exact"/>
        <w:rPr>
          <w:rFonts w:ascii="Arial" w:cs="Arial" w:eastAsia="Arial" w:hAnsi="Arial"/>
          <w:sz w:val="14"/>
          <w:szCs w:val="14"/>
          <w:color w:val="auto"/>
        </w:rPr>
      </w:pPr>
    </w:p>
    <w:p>
      <w:pPr>
        <w:ind w:left="260" w:hanging="252"/>
        <w:spacing w:after="0" w:line="253"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aggregate balance as of December 31, 2020, for each named executive officer includes the following amounts that were previously earned and reported as compensation in the summary compensation table for the years 2006 through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Borders>
              <w:top w:val="single" w:sz="8" w:color="BFBFBF"/>
            </w:tcBorders>
            <w:shd w:val="clear" w:color="auto" w:fill="E7E7E8"/>
          </w:tcPr>
          <w:p>
            <w:pPr>
              <w:spacing w:after="0"/>
              <w:rPr>
                <w:sz w:val="14"/>
                <w:szCs w:val="14"/>
                <w:color w:val="auto"/>
              </w:rPr>
            </w:pPr>
          </w:p>
        </w:tc>
        <w:tc>
          <w:tcPr>
            <w:tcW w:w="4000" w:type="dxa"/>
            <w:vAlign w:val="bottom"/>
            <w:tcBorders>
              <w:top w:val="single" w:sz="8" w:color="BFBFBF"/>
            </w:tcBorders>
            <w:vMerge w:val="restart"/>
            <w:shd w:val="clear" w:color="auto" w:fill="E7E7E8"/>
          </w:tcPr>
          <w:p>
            <w:pPr>
              <w:jc w:val="right"/>
              <w:ind w:right="582"/>
              <w:spacing w:after="0"/>
              <w:rPr>
                <w:sz w:val="20"/>
                <w:szCs w:val="20"/>
                <w:color w:val="auto"/>
              </w:rPr>
            </w:pPr>
            <w:r>
              <w:rPr>
                <w:rFonts w:ascii="Arial" w:cs="Arial" w:eastAsia="Arial" w:hAnsi="Arial"/>
                <w:sz w:val="14"/>
                <w:szCs w:val="14"/>
                <w:b w:val="1"/>
                <w:bCs w:val="1"/>
                <w:color w:val="0033A0"/>
              </w:rPr>
              <w:t>Base Deferred</w:t>
            </w:r>
          </w:p>
        </w:tc>
        <w:tc>
          <w:tcPr>
            <w:tcW w:w="1920" w:type="dxa"/>
            <w:vAlign w:val="bottom"/>
            <w:tcBorders>
              <w:top w:val="single" w:sz="8" w:color="BFBFBF"/>
            </w:tcBorders>
            <w:vMerge w:val="restart"/>
            <w:shd w:val="clear" w:color="auto" w:fill="E7E7E8"/>
          </w:tcPr>
          <w:p>
            <w:pPr>
              <w:jc w:val="right"/>
              <w:ind w:right="562"/>
              <w:spacing w:after="0"/>
              <w:rPr>
                <w:sz w:val="20"/>
                <w:szCs w:val="20"/>
                <w:color w:val="auto"/>
              </w:rPr>
            </w:pPr>
            <w:r>
              <w:rPr>
                <w:rFonts w:ascii="Arial" w:cs="Arial" w:eastAsia="Arial" w:hAnsi="Arial"/>
                <w:sz w:val="14"/>
                <w:szCs w:val="14"/>
                <w:b w:val="1"/>
                <w:bCs w:val="1"/>
                <w:color w:val="0033A0"/>
              </w:rPr>
              <w:t>Bonus Deferred</w:t>
            </w:r>
          </w:p>
        </w:tc>
        <w:tc>
          <w:tcPr>
            <w:tcW w:w="1680" w:type="dxa"/>
            <w:vAlign w:val="bottom"/>
            <w:tcBorders>
              <w:top w:val="single" w:sz="8" w:color="BFBFBF"/>
            </w:tcBorders>
            <w:shd w:val="clear" w:color="auto" w:fill="E7E7E8"/>
          </w:tcPr>
          <w:p>
            <w:pPr>
              <w:jc w:val="center"/>
              <w:ind w:right="82"/>
              <w:spacing w:after="0"/>
              <w:rPr>
                <w:sz w:val="20"/>
                <w:szCs w:val="20"/>
                <w:color w:val="auto"/>
              </w:rPr>
            </w:pPr>
            <w:r>
              <w:rPr>
                <w:rFonts w:ascii="Arial" w:cs="Arial" w:eastAsia="Arial" w:hAnsi="Arial"/>
                <w:sz w:val="14"/>
                <w:szCs w:val="14"/>
                <w:b w:val="1"/>
                <w:bCs w:val="1"/>
                <w:color w:val="0033A0"/>
                <w:w w:val="97"/>
              </w:rPr>
              <w:t>Matching</w:t>
            </w:r>
          </w:p>
        </w:tc>
        <w:tc>
          <w:tcPr>
            <w:tcW w:w="0" w:type="dxa"/>
            <w:vAlign w:val="bottom"/>
          </w:tcPr>
          <w:p>
            <w:pPr>
              <w:spacing w:after="0"/>
              <w:rPr>
                <w:sz w:val="1"/>
                <w:szCs w:val="1"/>
                <w:color w:val="auto"/>
              </w:rPr>
            </w:pPr>
          </w:p>
        </w:tc>
      </w:tr>
      <w:tr>
        <w:trPr>
          <w:trHeight w:val="148"/>
        </w:trPr>
        <w:tc>
          <w:tcPr>
            <w:tcW w:w="364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4000" w:type="dxa"/>
            <w:vAlign w:val="bottom"/>
            <w:vMerge w:val="continue"/>
            <w:shd w:val="clear" w:color="auto" w:fill="E7E7E8"/>
          </w:tcPr>
          <w:p>
            <w:pPr>
              <w:spacing w:after="0"/>
              <w:rPr>
                <w:sz w:val="12"/>
                <w:szCs w:val="12"/>
                <w:color w:val="auto"/>
              </w:rPr>
            </w:pPr>
          </w:p>
        </w:tc>
        <w:tc>
          <w:tcPr>
            <w:tcW w:w="1920" w:type="dxa"/>
            <w:vAlign w:val="bottom"/>
            <w:vMerge w:val="continue"/>
            <w:shd w:val="clear" w:color="auto" w:fill="E7E7E8"/>
          </w:tcPr>
          <w:p>
            <w:pPr>
              <w:spacing w:after="0"/>
              <w:rPr>
                <w:sz w:val="12"/>
                <w:szCs w:val="12"/>
                <w:color w:val="auto"/>
              </w:rPr>
            </w:pPr>
          </w:p>
        </w:tc>
        <w:tc>
          <w:tcPr>
            <w:tcW w:w="1680" w:type="dxa"/>
            <w:vAlign w:val="bottom"/>
            <w:shd w:val="clear" w:color="auto" w:fill="E7E7E8"/>
          </w:tcPr>
          <w:p>
            <w:pPr>
              <w:jc w:val="center"/>
              <w:ind w:right="62"/>
              <w:spacing w:after="0" w:line="149" w:lineRule="exact"/>
              <w:rPr>
                <w:sz w:val="20"/>
                <w:szCs w:val="20"/>
                <w:color w:val="auto"/>
              </w:rPr>
            </w:pPr>
            <w:r>
              <w:rPr>
                <w:rFonts w:ascii="Arial" w:cs="Arial" w:eastAsia="Arial" w:hAnsi="Arial"/>
                <w:sz w:val="14"/>
                <w:szCs w:val="14"/>
                <w:b w:val="1"/>
                <w:bCs w:val="1"/>
                <w:color w:val="0033A0"/>
                <w:w w:val="93"/>
              </w:rPr>
              <w:t>Contributions</w:t>
            </w:r>
          </w:p>
        </w:tc>
        <w:tc>
          <w:tcPr>
            <w:tcW w:w="0" w:type="dxa"/>
            <w:vAlign w:val="bottom"/>
          </w:tcPr>
          <w:p>
            <w:pPr>
              <w:spacing w:after="0"/>
              <w:rPr>
                <w:sz w:val="1"/>
                <w:szCs w:val="1"/>
                <w:color w:val="auto"/>
              </w:rPr>
            </w:pPr>
          </w:p>
        </w:tc>
      </w:tr>
      <w:tr>
        <w:trPr>
          <w:trHeight w:val="178"/>
        </w:trPr>
        <w:tc>
          <w:tcPr>
            <w:tcW w:w="3640" w:type="dxa"/>
            <w:vAlign w:val="bottom"/>
            <w:tcBorders>
              <w:bottom w:val="single" w:sz="8" w:color="BFBFBF"/>
            </w:tcBorders>
            <w:vMerge w:val="continue"/>
            <w:shd w:val="clear" w:color="auto" w:fill="E7E7E8"/>
          </w:tcPr>
          <w:p>
            <w:pPr>
              <w:spacing w:after="0"/>
              <w:rPr>
                <w:sz w:val="15"/>
                <w:szCs w:val="15"/>
                <w:color w:val="auto"/>
              </w:rPr>
            </w:pPr>
          </w:p>
        </w:tc>
        <w:tc>
          <w:tcPr>
            <w:tcW w:w="4000" w:type="dxa"/>
            <w:vAlign w:val="bottom"/>
            <w:tcBorders>
              <w:bottom w:val="single" w:sz="8" w:color="BFBFBF"/>
            </w:tcBorders>
            <w:shd w:val="clear" w:color="auto" w:fill="E7E7E8"/>
          </w:tcPr>
          <w:p>
            <w:pPr>
              <w:jc w:val="right"/>
              <w:ind w:right="942"/>
              <w:spacing w:after="0"/>
              <w:rPr>
                <w:sz w:val="20"/>
                <w:szCs w:val="20"/>
                <w:color w:val="auto"/>
              </w:rPr>
            </w:pPr>
            <w:r>
              <w:rPr>
                <w:rFonts w:ascii="Arial" w:cs="Arial" w:eastAsia="Arial" w:hAnsi="Arial"/>
                <w:sz w:val="14"/>
                <w:szCs w:val="14"/>
                <w:b w:val="1"/>
                <w:bCs w:val="1"/>
                <w:color w:val="0033A0"/>
              </w:rPr>
              <w:t>($)</w:t>
            </w:r>
          </w:p>
        </w:tc>
        <w:tc>
          <w:tcPr>
            <w:tcW w:w="1920" w:type="dxa"/>
            <w:vAlign w:val="bottom"/>
            <w:tcBorders>
              <w:bottom w:val="single" w:sz="8" w:color="BFBFBF"/>
            </w:tcBorders>
            <w:shd w:val="clear" w:color="auto" w:fill="E7E7E8"/>
          </w:tcPr>
          <w:p>
            <w:pPr>
              <w:jc w:val="right"/>
              <w:ind w:right="962"/>
              <w:spacing w:after="0"/>
              <w:rPr>
                <w:sz w:val="20"/>
                <w:szCs w:val="20"/>
                <w:color w:val="auto"/>
              </w:rPr>
            </w:pPr>
            <w:r>
              <w:rPr>
                <w:rFonts w:ascii="Arial" w:cs="Arial" w:eastAsia="Arial" w:hAnsi="Arial"/>
                <w:sz w:val="14"/>
                <w:szCs w:val="14"/>
                <w:b w:val="1"/>
                <w:bCs w:val="1"/>
                <w:color w:val="0033A0"/>
              </w:rPr>
              <w:t>($)</w:t>
            </w:r>
          </w:p>
        </w:tc>
        <w:tc>
          <w:tcPr>
            <w:tcW w:w="1680" w:type="dxa"/>
            <w:vAlign w:val="bottom"/>
            <w:tcBorders>
              <w:bottom w:val="single" w:sz="8" w:color="BFBFBF"/>
            </w:tcBorders>
            <w:shd w:val="clear" w:color="auto" w:fill="E7E7E8"/>
          </w:tcPr>
          <w:p>
            <w:pPr>
              <w:jc w:val="center"/>
              <w:ind w:right="82"/>
              <w:spacing w:after="0"/>
              <w:rPr>
                <w:sz w:val="20"/>
                <w:szCs w:val="20"/>
                <w:color w:val="auto"/>
              </w:rPr>
            </w:pPr>
            <w:r>
              <w:rPr>
                <w:rFonts w:ascii="Arial" w:cs="Arial" w:eastAsia="Arial" w:hAnsi="Arial"/>
                <w:sz w:val="14"/>
                <w:szCs w:val="14"/>
                <w:b w:val="1"/>
                <w:bCs w:val="1"/>
                <w:color w:val="0033A0"/>
                <w:w w:val="93"/>
              </w:rPr>
              <w:t>($)</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Symson</w:t>
            </w:r>
          </w:p>
        </w:tc>
        <w:tc>
          <w:tcPr>
            <w:tcW w:w="4000" w:type="dxa"/>
            <w:vAlign w:val="bottom"/>
            <w:tcBorders>
              <w:bottom w:val="single" w:sz="8" w:color="BFBFBF"/>
            </w:tcBorders>
          </w:tcPr>
          <w:p>
            <w:pPr>
              <w:jc w:val="right"/>
              <w:ind w:right="222"/>
              <w:spacing w:after="0"/>
              <w:rPr>
                <w:sz w:val="20"/>
                <w:szCs w:val="20"/>
                <w:color w:val="auto"/>
              </w:rPr>
            </w:pPr>
            <w:r>
              <w:rPr>
                <w:rFonts w:ascii="Arial" w:cs="Arial" w:eastAsia="Arial" w:hAnsi="Arial"/>
                <w:sz w:val="16"/>
                <w:szCs w:val="16"/>
                <w:color w:val="auto"/>
              </w:rPr>
              <w:t>292,994</w:t>
            </w:r>
          </w:p>
        </w:tc>
        <w:tc>
          <w:tcPr>
            <w:tcW w:w="1920" w:type="dxa"/>
            <w:vAlign w:val="bottom"/>
            <w:tcBorders>
              <w:bottom w:val="single" w:sz="8" w:color="BFBFBF"/>
            </w:tcBorders>
          </w:tcPr>
          <w:p>
            <w:pPr>
              <w:jc w:val="right"/>
              <w:ind w:right="262"/>
              <w:spacing w:after="0"/>
              <w:rPr>
                <w:sz w:val="20"/>
                <w:szCs w:val="20"/>
                <w:color w:val="auto"/>
              </w:rPr>
            </w:pPr>
            <w:r>
              <w:rPr>
                <w:rFonts w:ascii="Arial" w:cs="Arial" w:eastAsia="Arial" w:hAnsi="Arial"/>
                <w:sz w:val="16"/>
                <w:szCs w:val="16"/>
                <w:color w:val="auto"/>
              </w:rPr>
              <w:t>129,601</w:t>
            </w:r>
          </w:p>
        </w:tc>
        <w:tc>
          <w:tcPr>
            <w:tcW w:w="1680" w:type="dxa"/>
            <w:vAlign w:val="bottom"/>
            <w:tcBorders>
              <w:bottom w:val="single" w:sz="8" w:color="BFBFBF"/>
            </w:tcBorders>
          </w:tcPr>
          <w:p>
            <w:pPr>
              <w:jc w:val="right"/>
              <w:ind w:right="42"/>
              <w:spacing w:after="0"/>
              <w:rPr>
                <w:sz w:val="20"/>
                <w:szCs w:val="20"/>
                <w:color w:val="auto"/>
              </w:rPr>
            </w:pPr>
            <w:r>
              <w:rPr>
                <w:rFonts w:ascii="Arial" w:cs="Arial" w:eastAsia="Arial" w:hAnsi="Arial"/>
                <w:sz w:val="16"/>
                <w:szCs w:val="16"/>
                <w:color w:val="auto"/>
              </w:rPr>
              <w:t>155,778</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4000" w:type="dxa"/>
            <w:vAlign w:val="bottom"/>
            <w:tcBorders>
              <w:bottom w:val="single" w:sz="8" w:color="BFBFBF"/>
            </w:tcBorders>
            <w:shd w:val="clear" w:color="auto" w:fill="F3F3F3"/>
          </w:tcPr>
          <w:p>
            <w:pPr>
              <w:jc w:val="right"/>
              <w:ind w:right="222"/>
              <w:spacing w:after="0"/>
              <w:rPr>
                <w:sz w:val="20"/>
                <w:szCs w:val="20"/>
                <w:color w:val="auto"/>
              </w:rPr>
            </w:pPr>
            <w:r>
              <w:rPr>
                <w:rFonts w:ascii="Arial" w:cs="Arial" w:eastAsia="Arial" w:hAnsi="Arial"/>
                <w:sz w:val="16"/>
                <w:szCs w:val="16"/>
                <w:color w:val="auto"/>
              </w:rPr>
              <w:t>540,906</w:t>
            </w:r>
          </w:p>
        </w:tc>
        <w:tc>
          <w:tcPr>
            <w:tcW w:w="1920" w:type="dxa"/>
            <w:vAlign w:val="bottom"/>
            <w:tcBorders>
              <w:bottom w:val="single" w:sz="8" w:color="BFBFBF"/>
            </w:tcBorders>
            <w:shd w:val="clear" w:color="auto" w:fill="F3F3F3"/>
          </w:tcPr>
          <w:p>
            <w:pPr>
              <w:jc w:val="right"/>
              <w:ind w:right="262"/>
              <w:spacing w:after="0"/>
              <w:rPr>
                <w:sz w:val="20"/>
                <w:szCs w:val="20"/>
                <w:color w:val="auto"/>
              </w:rPr>
            </w:pPr>
            <w:r>
              <w:rPr>
                <w:rFonts w:ascii="Arial" w:cs="Arial" w:eastAsia="Arial" w:hAnsi="Arial"/>
                <w:sz w:val="16"/>
                <w:szCs w:val="16"/>
                <w:color w:val="auto"/>
              </w:rPr>
              <w:t>766,208</w:t>
            </w:r>
          </w:p>
        </w:tc>
        <w:tc>
          <w:tcPr>
            <w:tcW w:w="1680" w:type="dxa"/>
            <w:vAlign w:val="bottom"/>
            <w:tcBorders>
              <w:bottom w:val="single" w:sz="8" w:color="BFBFBF"/>
            </w:tcBorders>
            <w:shd w:val="clear" w:color="auto" w:fill="F3F3F3"/>
          </w:tcPr>
          <w:p>
            <w:pPr>
              <w:jc w:val="right"/>
              <w:ind w:right="42"/>
              <w:spacing w:after="0"/>
              <w:rPr>
                <w:sz w:val="20"/>
                <w:szCs w:val="20"/>
                <w:color w:val="auto"/>
              </w:rPr>
            </w:pPr>
            <w:r>
              <w:rPr>
                <w:rFonts w:ascii="Arial" w:cs="Arial" w:eastAsia="Arial" w:hAnsi="Arial"/>
                <w:sz w:val="16"/>
                <w:szCs w:val="16"/>
                <w:color w:val="auto"/>
              </w:rPr>
              <w:t>121,172</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Lawlor</w:t>
            </w:r>
          </w:p>
        </w:tc>
        <w:tc>
          <w:tcPr>
            <w:tcW w:w="4000" w:type="dxa"/>
            <w:vAlign w:val="bottom"/>
            <w:tcBorders>
              <w:bottom w:val="single" w:sz="8" w:color="BFBFBF"/>
            </w:tcBorders>
          </w:tcPr>
          <w:p>
            <w:pPr>
              <w:jc w:val="right"/>
              <w:ind w:right="222"/>
              <w:spacing w:after="0"/>
              <w:rPr>
                <w:sz w:val="20"/>
                <w:szCs w:val="20"/>
                <w:color w:val="auto"/>
              </w:rPr>
            </w:pPr>
            <w:r>
              <w:rPr>
                <w:rFonts w:ascii="Arial" w:cs="Arial" w:eastAsia="Arial" w:hAnsi="Arial"/>
                <w:sz w:val="16"/>
                <w:szCs w:val="16"/>
                <w:color w:val="auto"/>
              </w:rPr>
              <w:t>36,690</w:t>
            </w:r>
          </w:p>
        </w:tc>
        <w:tc>
          <w:tcPr>
            <w:tcW w:w="1920" w:type="dxa"/>
            <w:vAlign w:val="bottom"/>
            <w:tcBorders>
              <w:bottom w:val="single" w:sz="8" w:color="BFBFBF"/>
            </w:tcBorders>
          </w:tcPr>
          <w:p>
            <w:pPr>
              <w:jc w:val="right"/>
              <w:ind w:right="262"/>
              <w:spacing w:after="0"/>
              <w:rPr>
                <w:sz w:val="20"/>
                <w:szCs w:val="20"/>
                <w:color w:val="auto"/>
              </w:rPr>
            </w:pPr>
            <w:r>
              <w:rPr>
                <w:rFonts w:ascii="Arial" w:cs="Arial" w:eastAsia="Arial" w:hAnsi="Arial"/>
                <w:sz w:val="16"/>
                <w:szCs w:val="16"/>
                <w:color w:val="auto"/>
              </w:rPr>
              <w:t>595,139</w:t>
            </w:r>
          </w:p>
        </w:tc>
        <w:tc>
          <w:tcPr>
            <w:tcW w:w="1680" w:type="dxa"/>
            <w:vAlign w:val="bottom"/>
            <w:tcBorders>
              <w:bottom w:val="single" w:sz="8" w:color="BFBFBF"/>
            </w:tcBorders>
          </w:tcPr>
          <w:p>
            <w:pPr>
              <w:jc w:val="right"/>
              <w:ind w:right="42"/>
              <w:spacing w:after="0"/>
              <w:rPr>
                <w:sz w:val="20"/>
                <w:szCs w:val="20"/>
                <w:color w:val="auto"/>
              </w:rPr>
            </w:pPr>
            <w:r>
              <w:rPr>
                <w:rFonts w:ascii="Arial" w:cs="Arial" w:eastAsia="Arial" w:hAnsi="Arial"/>
                <w:sz w:val="16"/>
                <w:szCs w:val="16"/>
                <w:color w:val="auto"/>
              </w:rPr>
              <w:t>78,908</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BFBFBF"/>
            </w:tcBorders>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4000" w:type="dxa"/>
            <w:vAlign w:val="bottom"/>
            <w:tcBorders>
              <w:bottom w:val="single" w:sz="8" w:color="BFBFBF"/>
            </w:tcBorders>
            <w:shd w:val="clear" w:color="auto" w:fill="F3F3F3"/>
          </w:tcPr>
          <w:p>
            <w:pPr>
              <w:jc w:val="right"/>
              <w:ind w:right="222"/>
              <w:spacing w:after="0"/>
              <w:rPr>
                <w:sz w:val="20"/>
                <w:szCs w:val="20"/>
                <w:color w:val="auto"/>
              </w:rPr>
            </w:pPr>
            <w:r>
              <w:rPr>
                <w:rFonts w:ascii="Arial" w:cs="Arial" w:eastAsia="Arial" w:hAnsi="Arial"/>
                <w:sz w:val="16"/>
                <w:szCs w:val="16"/>
                <w:color w:val="auto"/>
              </w:rPr>
              <w:t>81,832</w:t>
            </w:r>
          </w:p>
        </w:tc>
        <w:tc>
          <w:tcPr>
            <w:tcW w:w="1920" w:type="dxa"/>
            <w:vAlign w:val="bottom"/>
            <w:tcBorders>
              <w:bottom w:val="single" w:sz="8" w:color="BFBFBF"/>
            </w:tcBorders>
            <w:shd w:val="clear" w:color="auto" w:fill="F3F3F3"/>
          </w:tcPr>
          <w:p>
            <w:pPr>
              <w:jc w:val="right"/>
              <w:ind w:right="262"/>
              <w:spacing w:after="0"/>
              <w:rPr>
                <w:sz w:val="20"/>
                <w:szCs w:val="20"/>
                <w:color w:val="auto"/>
              </w:rPr>
            </w:pPr>
            <w:r>
              <w:rPr>
                <w:rFonts w:ascii="Arial" w:cs="Arial" w:eastAsia="Arial" w:hAnsi="Arial"/>
                <w:sz w:val="16"/>
                <w:szCs w:val="16"/>
                <w:color w:val="auto"/>
              </w:rPr>
              <w:t>720,059</w:t>
            </w:r>
          </w:p>
        </w:tc>
        <w:tc>
          <w:tcPr>
            <w:tcW w:w="1680" w:type="dxa"/>
            <w:vAlign w:val="bottom"/>
            <w:tcBorders>
              <w:bottom w:val="single" w:sz="8" w:color="BFBFBF"/>
            </w:tcBorders>
            <w:shd w:val="clear" w:color="auto" w:fill="F3F3F3"/>
          </w:tcPr>
          <w:p>
            <w:pPr>
              <w:jc w:val="right"/>
              <w:ind w:right="42"/>
              <w:spacing w:after="0"/>
              <w:rPr>
                <w:sz w:val="20"/>
                <w:szCs w:val="20"/>
                <w:color w:val="auto"/>
              </w:rPr>
            </w:pPr>
            <w:r>
              <w:rPr>
                <w:rFonts w:ascii="Arial" w:cs="Arial" w:eastAsia="Arial" w:hAnsi="Arial"/>
                <w:sz w:val="16"/>
                <w:szCs w:val="16"/>
                <w:color w:val="auto"/>
              </w:rPr>
              <w:t>118,381</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Tomlin</w:t>
            </w:r>
          </w:p>
        </w:tc>
        <w:tc>
          <w:tcPr>
            <w:tcW w:w="4000" w:type="dxa"/>
            <w:vAlign w:val="bottom"/>
            <w:tcBorders>
              <w:bottom w:val="single" w:sz="8" w:color="BFBFBF"/>
            </w:tcBorders>
          </w:tcPr>
          <w:p>
            <w:pPr>
              <w:jc w:val="right"/>
              <w:ind w:right="222"/>
              <w:spacing w:after="0"/>
              <w:rPr>
                <w:sz w:val="20"/>
                <w:szCs w:val="20"/>
                <w:color w:val="auto"/>
              </w:rPr>
            </w:pPr>
            <w:r>
              <w:rPr>
                <w:rFonts w:ascii="Arial" w:cs="Arial" w:eastAsia="Arial" w:hAnsi="Arial"/>
                <w:sz w:val="16"/>
                <w:szCs w:val="16"/>
                <w:color w:val="auto"/>
              </w:rPr>
              <w:t>3,208</w:t>
            </w:r>
          </w:p>
        </w:tc>
        <w:tc>
          <w:tcPr>
            <w:tcW w:w="1920" w:type="dxa"/>
            <w:vAlign w:val="bottom"/>
            <w:tcBorders>
              <w:bottom w:val="single" w:sz="8" w:color="BFBFBF"/>
            </w:tcBorders>
          </w:tcPr>
          <w:p>
            <w:pPr>
              <w:jc w:val="right"/>
              <w:ind w:right="26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BFBFBF"/>
            </w:tcBorders>
          </w:tcPr>
          <w:p>
            <w:pPr>
              <w:jc w:val="right"/>
              <w:ind w:right="42"/>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Nonqualified Deferred Compensation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named executive officers are eligible to defer up to 50 percent of their pre-tax base salary and up to 100 percent of their pre-tax short-term incentive compensation under the terms of the Executive Deferred Compensation Plan. The plan is available to a select group of highly compensated employees and is unfunded and unsecured. Our named executive officers are also entitled to a matching credit on base salary deferrals equal to 100 percent on the first 1 percent of base salary (in excess of the applicable Internal Revenue Code limit) and short-term incentive deferrals, plus 50 percent on the next 5 percent of those deferrals. Under the Transition Credit Plan, “excess” age and service credits were made on behalf of named executive officers whose pension benefit service was frozen.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Payments from the Executive Deferred Compensation Plan are made in cash at certain future dates specified by participants or upon earlier termination of employment or death. Payments are made in the form of a lump sum or in monthly installments of 5, 10 or 15 years, as elected by the participants. Payments are automatically accelerated and paid in a lump sum in the event of a termination of employment within two years following a change in control of the Company. Payments from the Transition Credit Plan, which was in effect from 2011 to 2015, are made in cash as a single lump sum six months following termination of employment.</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deferred compensation is credited with earnings, gains and losses in accordance with deemed investment elections made by participants from among various crediting options established by the Company from time to time. Participants are permitted to change their deemed investment elections daily. For 2020, the investment options tracked returns under publicly available and externally managed investment funds such as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49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entered into agreements and maintains plans and arrangements that require it to pay or provide compensation and benefits to the named executive officers in the event of certain terminations of employment or a change in control. The estimated amount payable or provided to each of these executives in each situation is summarized below. These estimates are based on the assumption that the various triggering events occurred on the last day of 2020, along with other material assumptions noted below. The actual amounts that would be paid to these executives upon termination or a change in control can only be determined at the time the actual triggering event occurs.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 of compensation and benefits described below does not take into account compensation and benefits that a named executive officer has earned prior to the applicable triggering event, such as the 2020 annual incentive payouts, equity awards that had previously vested in accordance with their terms, or vested benefits otherwise payable under the retirement plans and programs (unless those benefits are enhanced or accelerated). Please refer to the “Non-Equity Incentive Plan Compensation” column of the “2020 Summary Compensation Table” for the amount of the 2020 annual incentive payout, the “2020 Stock Vested” table for a summary of each named executive officer’s vested equity awards, the “2020 Pension Benefits” table for a summary of each named executive officer’s vested pension benefit, and the “2020 Nonqualified Deferred Compensation” table for a summary of each named executive officer’s deferred compensation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6"/>
        </w:trPr>
        <w:tc>
          <w:tcPr>
            <w:tcW w:w="520" w:type="dxa"/>
            <w:vAlign w:val="bottom"/>
            <w:tcBorders>
              <w:top w:val="single" w:sz="8" w:color="BFBFBF"/>
            </w:tcBorders>
            <w:shd w:val="clear" w:color="auto" w:fill="E7E7E8"/>
          </w:tcPr>
          <w:p>
            <w:pPr>
              <w:spacing w:after="0"/>
              <w:rPr>
                <w:sz w:val="14"/>
                <w:szCs w:val="14"/>
                <w:color w:val="auto"/>
              </w:rPr>
            </w:pPr>
          </w:p>
        </w:tc>
        <w:tc>
          <w:tcPr>
            <w:tcW w:w="5120" w:type="dxa"/>
            <w:vAlign w:val="bottom"/>
            <w:tcBorders>
              <w:top w:val="single" w:sz="8" w:color="BFBFBF"/>
            </w:tcBorders>
            <w:shd w:val="clear" w:color="auto" w:fill="E7E7E8"/>
          </w:tcPr>
          <w:p>
            <w:pPr>
              <w:spacing w:after="0"/>
              <w:rPr>
                <w:sz w:val="14"/>
                <w:szCs w:val="14"/>
                <w:color w:val="auto"/>
              </w:rPr>
            </w:pPr>
          </w:p>
        </w:tc>
        <w:tc>
          <w:tcPr>
            <w:tcW w:w="1000" w:type="dxa"/>
            <w:vAlign w:val="bottom"/>
            <w:tcBorders>
              <w:top w:val="single" w:sz="8" w:color="BFBFBF"/>
            </w:tcBorders>
            <w:shd w:val="clear" w:color="auto" w:fill="E7E7E8"/>
          </w:tcPr>
          <w:p>
            <w:pPr>
              <w:jc w:val="center"/>
              <w:ind w:left="40"/>
              <w:spacing w:after="0"/>
              <w:rPr>
                <w:sz w:val="20"/>
                <w:szCs w:val="20"/>
                <w:color w:val="auto"/>
              </w:rPr>
            </w:pPr>
            <w:r>
              <w:rPr>
                <w:rFonts w:ascii="Arial" w:cs="Arial" w:eastAsia="Arial" w:hAnsi="Arial"/>
                <w:sz w:val="14"/>
                <w:szCs w:val="14"/>
                <w:b w:val="1"/>
                <w:bCs w:val="1"/>
                <w:color w:val="0033A0"/>
                <w:w w:val="93"/>
              </w:rPr>
              <w:t>Cash</w:t>
            </w:r>
          </w:p>
        </w:tc>
        <w:tc>
          <w:tcPr>
            <w:tcW w:w="1300" w:type="dxa"/>
            <w:vAlign w:val="bottom"/>
            <w:tcBorders>
              <w:top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w w:val="96"/>
              </w:rPr>
              <w:t>Incremental</w:t>
            </w:r>
          </w:p>
        </w:tc>
        <w:tc>
          <w:tcPr>
            <w:tcW w:w="1160" w:type="dxa"/>
            <w:vAlign w:val="bottom"/>
            <w:tcBorders>
              <w:top w:val="single" w:sz="8" w:color="BFBFBF"/>
            </w:tcBorders>
            <w:shd w:val="clear" w:color="auto" w:fill="E7E7E8"/>
          </w:tcPr>
          <w:p>
            <w:pPr>
              <w:jc w:val="center"/>
              <w:ind w:right="80"/>
              <w:spacing w:after="0"/>
              <w:rPr>
                <w:sz w:val="20"/>
                <w:szCs w:val="20"/>
                <w:color w:val="auto"/>
              </w:rPr>
            </w:pPr>
            <w:r>
              <w:rPr>
                <w:rFonts w:ascii="Arial" w:cs="Arial" w:eastAsia="Arial" w:hAnsi="Arial"/>
                <w:sz w:val="14"/>
                <w:szCs w:val="14"/>
                <w:b w:val="1"/>
                <w:bCs w:val="1"/>
                <w:color w:val="0033A0"/>
                <w:w w:val="94"/>
              </w:rPr>
              <w:t>Welfare</w:t>
            </w:r>
          </w:p>
        </w:tc>
        <w:tc>
          <w:tcPr>
            <w:tcW w:w="1100" w:type="dxa"/>
            <w:vAlign w:val="bottom"/>
            <w:tcBorders>
              <w:top w:val="single" w:sz="8" w:color="BFBFBF"/>
            </w:tcBorders>
            <w:vMerge w:val="restart"/>
            <w:shd w:val="clear" w:color="auto" w:fill="E7E7E8"/>
          </w:tcPr>
          <w:p>
            <w:pPr>
              <w:jc w:val="center"/>
              <w:ind w:right="100"/>
              <w:spacing w:after="0"/>
              <w:rPr>
                <w:sz w:val="20"/>
                <w:szCs w:val="20"/>
                <w:color w:val="auto"/>
              </w:rPr>
            </w:pPr>
            <w:r>
              <w:rPr>
                <w:rFonts w:ascii="Arial" w:cs="Arial" w:eastAsia="Arial" w:hAnsi="Arial"/>
                <w:sz w:val="14"/>
                <w:szCs w:val="14"/>
                <w:b w:val="1"/>
                <w:bCs w:val="1"/>
                <w:color w:val="0033A0"/>
                <w:w w:val="94"/>
              </w:rPr>
              <w:t>Stock</w:t>
            </w:r>
          </w:p>
        </w:tc>
        <w:tc>
          <w:tcPr>
            <w:tcW w:w="1040" w:type="dxa"/>
            <w:vAlign w:val="bottom"/>
            <w:tcBorders>
              <w:top w:val="single" w:sz="8" w:color="BFBFBF"/>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E7E7E8"/>
          </w:tcPr>
          <w:p>
            <w:pPr>
              <w:spacing w:after="0"/>
              <w:rPr>
                <w:sz w:val="12"/>
                <w:szCs w:val="12"/>
                <w:color w:val="auto"/>
              </w:rPr>
            </w:pPr>
          </w:p>
        </w:tc>
        <w:tc>
          <w:tcPr>
            <w:tcW w:w="5120" w:type="dxa"/>
            <w:vAlign w:val="bottom"/>
            <w:shd w:val="clear" w:color="auto" w:fill="E7E7E8"/>
          </w:tcPr>
          <w:p>
            <w:pPr>
              <w:spacing w:after="0"/>
              <w:rPr>
                <w:sz w:val="12"/>
                <w:szCs w:val="12"/>
                <w:color w:val="auto"/>
              </w:rPr>
            </w:pPr>
          </w:p>
        </w:tc>
        <w:tc>
          <w:tcPr>
            <w:tcW w:w="1000" w:type="dxa"/>
            <w:vAlign w:val="bottom"/>
            <w:shd w:val="clear" w:color="auto" w:fill="E7E7E8"/>
          </w:tcPr>
          <w:p>
            <w:pPr>
              <w:jc w:val="center"/>
              <w:ind w:left="60"/>
              <w:spacing w:after="0" w:line="149" w:lineRule="exact"/>
              <w:rPr>
                <w:sz w:val="20"/>
                <w:szCs w:val="20"/>
                <w:color w:val="auto"/>
              </w:rPr>
            </w:pPr>
            <w:r>
              <w:rPr>
                <w:rFonts w:ascii="Arial" w:cs="Arial" w:eastAsia="Arial" w:hAnsi="Arial"/>
                <w:sz w:val="14"/>
                <w:szCs w:val="14"/>
                <w:b w:val="1"/>
                <w:bCs w:val="1"/>
                <w:color w:val="0033A0"/>
                <w:w w:val="88"/>
              </w:rPr>
              <w:t>Severance</w:t>
            </w:r>
          </w:p>
        </w:tc>
        <w:tc>
          <w:tcPr>
            <w:tcW w:w="130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2"/>
              </w:rPr>
              <w:t>Retirement</w:t>
            </w:r>
          </w:p>
        </w:tc>
        <w:tc>
          <w:tcPr>
            <w:tcW w:w="1160" w:type="dxa"/>
            <w:vAlign w:val="bottom"/>
            <w:shd w:val="clear" w:color="auto" w:fill="E7E7E8"/>
          </w:tcPr>
          <w:p>
            <w:pPr>
              <w:jc w:val="center"/>
              <w:ind w:right="80"/>
              <w:spacing w:after="0" w:line="149" w:lineRule="exact"/>
              <w:rPr>
                <w:sz w:val="20"/>
                <w:szCs w:val="20"/>
                <w:color w:val="auto"/>
              </w:rPr>
            </w:pPr>
            <w:r>
              <w:rPr>
                <w:rFonts w:ascii="Arial" w:cs="Arial" w:eastAsia="Arial" w:hAnsi="Arial"/>
                <w:sz w:val="14"/>
                <w:szCs w:val="14"/>
                <w:b w:val="1"/>
                <w:bCs w:val="1"/>
                <w:color w:val="0033A0"/>
                <w:w w:val="96"/>
              </w:rPr>
              <w:t>and Other</w:t>
            </w:r>
          </w:p>
        </w:tc>
        <w:tc>
          <w:tcPr>
            <w:tcW w:w="1100" w:type="dxa"/>
            <w:vAlign w:val="bottom"/>
            <w:vMerge w:val="continue"/>
            <w:shd w:val="clear" w:color="auto" w:fill="E7E7E8"/>
          </w:tcPr>
          <w:p>
            <w:pPr>
              <w:spacing w:after="0"/>
              <w:rPr>
                <w:sz w:val="12"/>
                <w:szCs w:val="12"/>
                <w:color w:val="auto"/>
              </w:rPr>
            </w:pPr>
          </w:p>
        </w:tc>
        <w:tc>
          <w:tcPr>
            <w:tcW w:w="1040" w:type="dxa"/>
            <w:vAlign w:val="bottom"/>
            <w:vMerge w:val="restart"/>
            <w:shd w:val="clear" w:color="auto" w:fill="E7E7E8"/>
          </w:tcPr>
          <w:p>
            <w:pPr>
              <w:jc w:val="right"/>
              <w:ind w:right="320"/>
              <w:spacing w:after="0"/>
              <w:rPr>
                <w:sz w:val="20"/>
                <w:szCs w:val="20"/>
                <w:color w:val="auto"/>
              </w:rPr>
            </w:pPr>
            <w:r>
              <w:rPr>
                <w:rFonts w:ascii="Arial" w:cs="Arial" w:eastAsia="Arial" w:hAnsi="Arial"/>
                <w:sz w:val="14"/>
                <w:szCs w:val="14"/>
                <w:b w:val="1"/>
                <w:bCs w:val="1"/>
                <w:color w:val="0033A0"/>
              </w:rPr>
              <w:t>Total</w:t>
            </w:r>
          </w:p>
        </w:tc>
        <w:tc>
          <w:tcPr>
            <w:tcW w:w="0" w:type="dxa"/>
            <w:vAlign w:val="bottom"/>
          </w:tcPr>
          <w:p>
            <w:pPr>
              <w:spacing w:after="0"/>
              <w:rPr>
                <w:sz w:val="1"/>
                <w:szCs w:val="1"/>
                <w:color w:val="auto"/>
              </w:rPr>
            </w:pPr>
          </w:p>
        </w:tc>
      </w:tr>
      <w:tr>
        <w:trPr>
          <w:trHeight w:val="148"/>
        </w:trPr>
        <w:tc>
          <w:tcPr>
            <w:tcW w:w="5640" w:type="dxa"/>
            <w:vAlign w:val="bottom"/>
            <w:gridSpan w:val="2"/>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 and Triggering Event</w:t>
            </w:r>
          </w:p>
        </w:tc>
        <w:tc>
          <w:tcPr>
            <w:tcW w:w="1000" w:type="dxa"/>
            <w:vAlign w:val="bottom"/>
            <w:shd w:val="clear" w:color="auto" w:fill="E7E7E8"/>
          </w:tcPr>
          <w:p>
            <w:pPr>
              <w:jc w:val="center"/>
              <w:ind w:left="60"/>
              <w:spacing w:after="0" w:line="149" w:lineRule="exact"/>
              <w:rPr>
                <w:sz w:val="20"/>
                <w:szCs w:val="20"/>
                <w:color w:val="auto"/>
              </w:rPr>
            </w:pPr>
            <w:r>
              <w:rPr>
                <w:rFonts w:ascii="Arial" w:cs="Arial" w:eastAsia="Arial" w:hAnsi="Arial"/>
                <w:sz w:val="14"/>
                <w:szCs w:val="14"/>
                <w:b w:val="1"/>
                <w:bCs w:val="1"/>
                <w:color w:val="0033A0"/>
                <w:w w:val="92"/>
              </w:rPr>
              <w:t>Payment</w:t>
            </w:r>
          </w:p>
        </w:tc>
        <w:tc>
          <w:tcPr>
            <w:tcW w:w="130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3"/>
              </w:rPr>
              <w:t>Plan Benefit</w:t>
            </w:r>
          </w:p>
        </w:tc>
        <w:tc>
          <w:tcPr>
            <w:tcW w:w="1160" w:type="dxa"/>
            <w:vAlign w:val="bottom"/>
            <w:shd w:val="clear" w:color="auto" w:fill="E7E7E8"/>
          </w:tcPr>
          <w:p>
            <w:pPr>
              <w:jc w:val="center"/>
              <w:ind w:right="80"/>
              <w:spacing w:after="0" w:line="149" w:lineRule="exact"/>
              <w:rPr>
                <w:sz w:val="20"/>
                <w:szCs w:val="20"/>
                <w:color w:val="auto"/>
              </w:rPr>
            </w:pPr>
            <w:r>
              <w:rPr>
                <w:rFonts w:ascii="Arial" w:cs="Arial" w:eastAsia="Arial" w:hAnsi="Arial"/>
                <w:sz w:val="14"/>
                <w:szCs w:val="14"/>
                <w:b w:val="1"/>
                <w:bCs w:val="1"/>
                <w:color w:val="0033A0"/>
                <w:w w:val="86"/>
              </w:rPr>
              <w:t>Benefits</w:t>
            </w:r>
          </w:p>
        </w:tc>
        <w:tc>
          <w:tcPr>
            <w:tcW w:w="1100" w:type="dxa"/>
            <w:vAlign w:val="bottom"/>
            <w:shd w:val="clear" w:color="auto" w:fill="E7E7E8"/>
          </w:tcPr>
          <w:p>
            <w:pPr>
              <w:jc w:val="center"/>
              <w:ind w:right="100"/>
              <w:spacing w:after="0" w:line="149" w:lineRule="exact"/>
              <w:rPr>
                <w:sz w:val="20"/>
                <w:szCs w:val="20"/>
                <w:color w:val="auto"/>
              </w:rPr>
            </w:pPr>
            <w:r>
              <w:rPr>
                <w:rFonts w:ascii="Arial" w:cs="Arial" w:eastAsia="Arial" w:hAnsi="Arial"/>
                <w:sz w:val="14"/>
                <w:szCs w:val="14"/>
                <w:b w:val="1"/>
                <w:bCs w:val="1"/>
                <w:color w:val="0033A0"/>
                <w:w w:val="94"/>
              </w:rPr>
              <w:t>Awards</w:t>
            </w:r>
          </w:p>
        </w:tc>
        <w:tc>
          <w:tcPr>
            <w:tcW w:w="1040" w:type="dxa"/>
            <w:vAlign w:val="bottom"/>
            <w:vMerge w:val="continue"/>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40" w:type="dxa"/>
            <w:vAlign w:val="bottom"/>
            <w:tcBorders>
              <w:bottom w:val="single" w:sz="8" w:color="BFBFBF"/>
            </w:tcBorders>
            <w:gridSpan w:val="2"/>
            <w:vMerge w:val="continue"/>
            <w:shd w:val="clear" w:color="auto" w:fill="E7E7E8"/>
          </w:tcPr>
          <w:p>
            <w:pPr>
              <w:spacing w:after="0"/>
              <w:rPr>
                <w:sz w:val="15"/>
                <w:szCs w:val="15"/>
                <w:color w:val="auto"/>
              </w:rPr>
            </w:pPr>
          </w:p>
        </w:tc>
        <w:tc>
          <w:tcPr>
            <w:tcW w:w="1000" w:type="dxa"/>
            <w:vAlign w:val="bottom"/>
            <w:tcBorders>
              <w:bottom w:val="single" w:sz="8" w:color="BFBFBF"/>
            </w:tcBorders>
            <w:shd w:val="clear" w:color="auto" w:fill="E7E7E8"/>
          </w:tcPr>
          <w:p>
            <w:pPr>
              <w:jc w:val="center"/>
              <w:ind w:left="40"/>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(1)</w:t>
            </w:r>
          </w:p>
        </w:tc>
        <w:tc>
          <w:tcPr>
            <w:tcW w:w="1300" w:type="dxa"/>
            <w:vAlign w:val="bottom"/>
            <w:tcBorders>
              <w:bottom w:val="single" w:sz="8" w:color="BFBFBF"/>
            </w:tcBorders>
            <w:shd w:val="clear" w:color="auto" w:fill="E7E7E8"/>
          </w:tcPr>
          <w:p>
            <w:pPr>
              <w:jc w:val="center"/>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(2)</w:t>
            </w:r>
          </w:p>
        </w:tc>
        <w:tc>
          <w:tcPr>
            <w:tcW w:w="1160" w:type="dxa"/>
            <w:vAlign w:val="bottom"/>
            <w:tcBorders>
              <w:bottom w:val="single" w:sz="8" w:color="BFBFBF"/>
            </w:tcBorders>
            <w:shd w:val="clear" w:color="auto" w:fill="E7E7E8"/>
          </w:tcPr>
          <w:p>
            <w:pPr>
              <w:jc w:val="center"/>
              <w:ind w:right="80"/>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(3)</w:t>
            </w:r>
          </w:p>
        </w:tc>
        <w:tc>
          <w:tcPr>
            <w:tcW w:w="1100" w:type="dxa"/>
            <w:vAlign w:val="bottom"/>
            <w:tcBorders>
              <w:bottom w:val="single" w:sz="8" w:color="BFBFBF"/>
            </w:tcBorders>
            <w:shd w:val="clear" w:color="auto" w:fill="E7E7E8"/>
          </w:tcPr>
          <w:p>
            <w:pPr>
              <w:jc w:val="center"/>
              <w:ind w:right="100"/>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(4)</w:t>
            </w:r>
          </w:p>
        </w:tc>
        <w:tc>
          <w:tcPr>
            <w:tcW w:w="1040" w:type="dxa"/>
            <w:vAlign w:val="bottom"/>
            <w:tcBorders>
              <w:bottom w:val="single" w:sz="8" w:color="BFBFBF"/>
            </w:tcBorders>
            <w:shd w:val="clear" w:color="auto" w:fill="E7E7E8"/>
          </w:tcPr>
          <w:p>
            <w:pPr>
              <w:jc w:val="right"/>
              <w:ind w:right="320"/>
              <w:spacing w:after="0"/>
              <w:rPr>
                <w:sz w:val="20"/>
                <w:szCs w:val="20"/>
                <w:color w:val="auto"/>
              </w:rPr>
            </w:pPr>
            <w:r>
              <w:rPr>
                <w:rFonts w:ascii="Arial" w:cs="Arial" w:eastAsia="Arial" w:hAnsi="Arial"/>
                <w:sz w:val="14"/>
                <w:szCs w:val="14"/>
                <w:b w:val="1"/>
                <w:bCs w:val="1"/>
                <w:color w:val="0033A0"/>
              </w:rPr>
              <w:t>($)</w:t>
            </w:r>
            <w:r>
              <w:rPr>
                <w:rFonts w:ascii="Arial" w:cs="Arial" w:eastAsia="Arial" w:hAnsi="Arial"/>
                <w:sz w:val="12"/>
                <w:szCs w:val="12"/>
                <w:b w:val="1"/>
                <w:bCs w:val="1"/>
                <w:color w:val="0033A0"/>
              </w:rPr>
              <w:t>(5)</w:t>
            </w:r>
          </w:p>
        </w:tc>
        <w:tc>
          <w:tcPr>
            <w:tcW w:w="0" w:type="dxa"/>
            <w:vAlign w:val="bottom"/>
          </w:tcPr>
          <w:p>
            <w:pPr>
              <w:spacing w:after="0"/>
              <w:rPr>
                <w:sz w:val="1"/>
                <w:szCs w:val="1"/>
                <w:color w:val="auto"/>
              </w:rPr>
            </w:pPr>
          </w:p>
        </w:tc>
      </w:tr>
      <w:tr>
        <w:trPr>
          <w:trHeight w:val="234"/>
        </w:trPr>
        <w:tc>
          <w:tcPr>
            <w:tcW w:w="5640" w:type="dxa"/>
            <w:vAlign w:val="bottom"/>
            <w:gridSpan w:val="2"/>
          </w:tcPr>
          <w:p>
            <w:pPr>
              <w:ind w:left="140"/>
              <w:spacing w:after="0"/>
              <w:rPr>
                <w:sz w:val="20"/>
                <w:szCs w:val="20"/>
                <w:color w:val="auto"/>
              </w:rPr>
            </w:pPr>
            <w:r>
              <w:rPr>
                <w:rFonts w:ascii="Arial" w:cs="Arial" w:eastAsia="Arial" w:hAnsi="Arial"/>
                <w:sz w:val="18"/>
                <w:szCs w:val="18"/>
                <w:b w:val="1"/>
                <w:bCs w:val="1"/>
                <w:color w:val="0033A0"/>
              </w:rPr>
              <w:t>Mr. Symson</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Voluntary termination</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640" w:type="dxa"/>
            <w:vAlign w:val="bottom"/>
            <w:gridSpan w:val="2"/>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termination without cause</w:t>
            </w:r>
          </w:p>
        </w:tc>
        <w:tc>
          <w:tcPr>
            <w:tcW w:w="1000" w:type="dxa"/>
            <w:vAlign w:val="bottom"/>
          </w:tcPr>
          <w:p>
            <w:pPr>
              <w:jc w:val="right"/>
              <w:spacing w:after="0"/>
              <w:rPr>
                <w:sz w:val="20"/>
                <w:szCs w:val="20"/>
                <w:color w:val="auto"/>
              </w:rPr>
            </w:pPr>
            <w:r>
              <w:rPr>
                <w:rFonts w:ascii="Arial" w:cs="Arial" w:eastAsia="Arial" w:hAnsi="Arial"/>
                <w:sz w:val="16"/>
                <w:szCs w:val="16"/>
                <w:color w:val="auto"/>
              </w:rPr>
              <w:t>4,800,000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52,414</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5,698,797</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10,551,211</w:t>
            </w:r>
          </w:p>
        </w:tc>
        <w:tc>
          <w:tcPr>
            <w:tcW w:w="0" w:type="dxa"/>
            <w:vAlign w:val="bottom"/>
          </w:tcPr>
          <w:p>
            <w:pPr>
              <w:spacing w:after="0"/>
              <w:rPr>
                <w:sz w:val="1"/>
                <w:szCs w:val="1"/>
                <w:color w:val="auto"/>
              </w:rPr>
            </w:pPr>
          </w:p>
        </w:tc>
      </w:tr>
      <w:tr>
        <w:trPr>
          <w:trHeight w:val="230"/>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CIC</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5,698,797</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5,698,797</w:t>
            </w:r>
          </w:p>
        </w:tc>
        <w:tc>
          <w:tcPr>
            <w:tcW w:w="0" w:type="dxa"/>
            <w:vAlign w:val="bottom"/>
          </w:tcPr>
          <w:p>
            <w:pPr>
              <w:spacing w:after="0"/>
              <w:rPr>
                <w:sz w:val="1"/>
                <w:szCs w:val="1"/>
                <w:color w:val="auto"/>
              </w:rPr>
            </w:pPr>
          </w:p>
        </w:tc>
      </w:tr>
      <w:tr>
        <w:trPr>
          <w:trHeight w:val="229"/>
        </w:trPr>
        <w:tc>
          <w:tcPr>
            <w:tcW w:w="5640" w:type="dxa"/>
            <w:vAlign w:val="bottom"/>
            <w:gridSpan w:val="2"/>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or good reason termination after a CIC</w:t>
            </w:r>
          </w:p>
        </w:tc>
        <w:tc>
          <w:tcPr>
            <w:tcW w:w="1000" w:type="dxa"/>
            <w:vAlign w:val="bottom"/>
          </w:tcPr>
          <w:p>
            <w:pPr>
              <w:jc w:val="right"/>
              <w:spacing w:after="0"/>
              <w:rPr>
                <w:sz w:val="20"/>
                <w:szCs w:val="20"/>
                <w:color w:val="auto"/>
              </w:rPr>
            </w:pPr>
            <w:r>
              <w:rPr>
                <w:rFonts w:ascii="Arial" w:cs="Arial" w:eastAsia="Arial" w:hAnsi="Arial"/>
                <w:sz w:val="16"/>
                <w:szCs w:val="16"/>
                <w:color w:val="auto"/>
              </w:rPr>
              <w:t>4,800,000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37,414</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4,837,414</w:t>
            </w:r>
          </w:p>
        </w:tc>
        <w:tc>
          <w:tcPr>
            <w:tcW w:w="0" w:type="dxa"/>
            <w:vAlign w:val="bottom"/>
          </w:tcPr>
          <w:p>
            <w:pPr>
              <w:spacing w:after="0"/>
              <w:rPr>
                <w:sz w:val="1"/>
                <w:szCs w:val="1"/>
                <w:color w:val="auto"/>
              </w:rPr>
            </w:pPr>
          </w:p>
        </w:tc>
      </w:tr>
      <w:tr>
        <w:trPr>
          <w:trHeight w:val="229"/>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Death</w:t>
            </w:r>
          </w:p>
        </w:tc>
        <w:tc>
          <w:tcPr>
            <w:tcW w:w="1000" w:type="dxa"/>
            <w:vAlign w:val="bottom"/>
          </w:tcPr>
          <w:p>
            <w:pPr>
              <w:jc w:val="right"/>
              <w:spacing w:after="0"/>
              <w:rPr>
                <w:sz w:val="20"/>
                <w:szCs w:val="20"/>
                <w:color w:val="auto"/>
              </w:rPr>
            </w:pPr>
            <w:r>
              <w:rPr>
                <w:rFonts w:ascii="Arial" w:cs="Arial" w:eastAsia="Arial" w:hAnsi="Arial"/>
                <w:sz w:val="16"/>
                <w:szCs w:val="16"/>
                <w:color w:val="auto"/>
              </w:rPr>
              <w:t>1,200,000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37,414</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5,698,797</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6,936,211</w:t>
            </w:r>
          </w:p>
        </w:tc>
        <w:tc>
          <w:tcPr>
            <w:tcW w:w="0" w:type="dxa"/>
            <w:vAlign w:val="bottom"/>
          </w:tcPr>
          <w:p>
            <w:pPr>
              <w:spacing w:after="0"/>
              <w:rPr>
                <w:sz w:val="1"/>
                <w:szCs w:val="1"/>
                <w:color w:val="auto"/>
              </w:rPr>
            </w:pPr>
          </w:p>
        </w:tc>
      </w:tr>
      <w:tr>
        <w:trPr>
          <w:trHeight w:val="233"/>
        </w:trPr>
        <w:tc>
          <w:tcPr>
            <w:tcW w:w="520" w:type="dxa"/>
            <w:vAlign w:val="bottom"/>
            <w:tcBorders>
              <w:bottom w:val="single" w:sz="8" w:color="BFBFBF"/>
            </w:tcBorders>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Borders>
              <w:bottom w:val="single" w:sz="8" w:color="BFBFBF"/>
            </w:tcBorders>
          </w:tcPr>
          <w:p>
            <w:pPr>
              <w:ind w:left="80"/>
              <w:spacing w:after="0"/>
              <w:rPr>
                <w:sz w:val="20"/>
                <w:szCs w:val="20"/>
                <w:color w:val="auto"/>
              </w:rPr>
            </w:pPr>
            <w:r>
              <w:rPr>
                <w:rFonts w:ascii="Arial" w:cs="Arial" w:eastAsia="Arial" w:hAnsi="Arial"/>
                <w:sz w:val="16"/>
                <w:szCs w:val="16"/>
                <w:color w:val="auto"/>
              </w:rPr>
              <w:t>Disability</w:t>
            </w: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1,200,000</w:t>
            </w:r>
          </w:p>
        </w:tc>
        <w:tc>
          <w:tcPr>
            <w:tcW w:w="1300" w:type="dxa"/>
            <w:vAlign w:val="bottom"/>
            <w:tcBorders>
              <w:bottom w:val="single" w:sz="8" w:color="BFBFBF"/>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BFBF"/>
            </w:tcBorders>
          </w:tcPr>
          <w:p>
            <w:pPr>
              <w:jc w:val="right"/>
              <w:ind w:right="160"/>
              <w:spacing w:after="0"/>
              <w:rPr>
                <w:sz w:val="20"/>
                <w:szCs w:val="20"/>
                <w:color w:val="auto"/>
              </w:rPr>
            </w:pPr>
            <w:r>
              <w:rPr>
                <w:rFonts w:ascii="Arial" w:cs="Arial" w:eastAsia="Arial" w:hAnsi="Arial"/>
                <w:sz w:val="16"/>
                <w:szCs w:val="16"/>
                <w:color w:val="auto"/>
              </w:rPr>
              <w:t>37,414</w:t>
            </w:r>
          </w:p>
        </w:tc>
        <w:tc>
          <w:tcPr>
            <w:tcW w:w="1100" w:type="dxa"/>
            <w:vAlign w:val="bottom"/>
            <w:tcBorders>
              <w:bottom w:val="single" w:sz="8" w:color="BFBFBF"/>
            </w:tcBorders>
          </w:tcPr>
          <w:p>
            <w:pPr>
              <w:jc w:val="right"/>
              <w:ind w:right="140"/>
              <w:spacing w:after="0"/>
              <w:rPr>
                <w:sz w:val="20"/>
                <w:szCs w:val="20"/>
                <w:color w:val="auto"/>
              </w:rPr>
            </w:pPr>
            <w:r>
              <w:rPr>
                <w:rFonts w:ascii="Arial" w:cs="Arial" w:eastAsia="Arial" w:hAnsi="Arial"/>
                <w:sz w:val="16"/>
                <w:szCs w:val="16"/>
                <w:color w:val="auto"/>
              </w:rPr>
              <w:t>5,698,797</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6,936,211</w:t>
            </w:r>
          </w:p>
        </w:tc>
        <w:tc>
          <w:tcPr>
            <w:tcW w:w="0" w:type="dxa"/>
            <w:vAlign w:val="bottom"/>
          </w:tcPr>
          <w:p>
            <w:pPr>
              <w:spacing w:after="0"/>
              <w:rPr>
                <w:sz w:val="1"/>
                <w:szCs w:val="1"/>
                <w:color w:val="auto"/>
              </w:rPr>
            </w:pPr>
          </w:p>
        </w:tc>
      </w:tr>
      <w:tr>
        <w:trPr>
          <w:trHeight w:val="226"/>
        </w:trPr>
        <w:tc>
          <w:tcPr>
            <w:tcW w:w="5640" w:type="dxa"/>
            <w:vAlign w:val="bottom"/>
            <w:gridSpan w:val="2"/>
            <w:shd w:val="clear" w:color="auto" w:fill="F3F3F3"/>
          </w:tcPr>
          <w:p>
            <w:pPr>
              <w:ind w:left="140"/>
              <w:spacing w:after="0"/>
              <w:rPr>
                <w:sz w:val="20"/>
                <w:szCs w:val="20"/>
                <w:color w:val="auto"/>
              </w:rPr>
            </w:pPr>
            <w:r>
              <w:rPr>
                <w:rFonts w:ascii="Arial" w:cs="Arial" w:eastAsia="Arial" w:hAnsi="Arial"/>
                <w:sz w:val="18"/>
                <w:szCs w:val="18"/>
                <w:b w:val="1"/>
                <w:bCs w:val="1"/>
                <w:color w:val="0033A0"/>
              </w:rPr>
              <w:t>Ms. Knutson</w:t>
            </w:r>
          </w:p>
        </w:tc>
        <w:tc>
          <w:tcPr>
            <w:tcW w:w="100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100" w:type="dxa"/>
            <w:vAlign w:val="bottom"/>
            <w:shd w:val="clear" w:color="auto" w:fill="F3F3F3"/>
          </w:tcPr>
          <w:p>
            <w:pPr>
              <w:spacing w:after="0"/>
              <w:rPr>
                <w:sz w:val="19"/>
                <w:szCs w:val="19"/>
                <w:color w:val="auto"/>
              </w:rPr>
            </w:pPr>
          </w:p>
        </w:tc>
        <w:tc>
          <w:tcPr>
            <w:tcW w:w="10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shd w:val="clear" w:color="auto" w:fill="F3F3F3"/>
          </w:tcPr>
          <w:p>
            <w:pPr>
              <w:ind w:left="80"/>
              <w:spacing w:after="0" w:line="230" w:lineRule="exact"/>
              <w:rPr>
                <w:sz w:val="20"/>
                <w:szCs w:val="20"/>
                <w:color w:val="auto"/>
              </w:rPr>
            </w:pPr>
            <w:r>
              <w:rPr>
                <w:rFonts w:ascii="Arial" w:cs="Arial" w:eastAsia="Arial" w:hAnsi="Arial"/>
                <w:sz w:val="16"/>
                <w:szCs w:val="16"/>
                <w:color w:val="auto"/>
              </w:rPr>
              <w:t>Voluntary termination</w:t>
            </w:r>
            <w:r>
              <w:rPr>
                <w:rFonts w:ascii="Arial" w:cs="Arial" w:eastAsia="Arial" w:hAnsi="Arial"/>
                <w:sz w:val="26"/>
                <w:szCs w:val="26"/>
                <w:color w:val="auto"/>
                <w:vertAlign w:val="superscript"/>
              </w:rPr>
              <w:t>(6)</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1,452,795</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1,452,795</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F3F3F3"/>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termination without cause</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1,040,000</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18,349</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1,452,795</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2,511,144</w:t>
            </w:r>
          </w:p>
        </w:tc>
        <w:tc>
          <w:tcPr>
            <w:tcW w:w="0" w:type="dxa"/>
            <w:vAlign w:val="bottom"/>
          </w:tcPr>
          <w:p>
            <w:pPr>
              <w:spacing w:after="0"/>
              <w:rPr>
                <w:sz w:val="1"/>
                <w:szCs w:val="1"/>
                <w:color w:val="auto"/>
              </w:rPr>
            </w:pPr>
          </w:p>
        </w:tc>
      </w:tr>
      <w:tr>
        <w:trPr>
          <w:trHeight w:val="230"/>
        </w:trPr>
        <w:tc>
          <w:tcPr>
            <w:tcW w:w="520" w:type="dxa"/>
            <w:vAlign w:val="bottom"/>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shd w:val="clear" w:color="auto" w:fill="F3F3F3"/>
          </w:tcPr>
          <w:p>
            <w:pPr>
              <w:ind w:left="80"/>
              <w:spacing w:after="0"/>
              <w:rPr>
                <w:sz w:val="20"/>
                <w:szCs w:val="20"/>
                <w:color w:val="auto"/>
              </w:rPr>
            </w:pPr>
            <w:r>
              <w:rPr>
                <w:rFonts w:ascii="Arial" w:cs="Arial" w:eastAsia="Arial" w:hAnsi="Arial"/>
                <w:sz w:val="16"/>
                <w:szCs w:val="16"/>
                <w:color w:val="auto"/>
              </w:rPr>
              <w:t>CIC</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1,452,795</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1,452,795</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F3F3F3"/>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or good reason termination after a CIC</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2,080,000</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36,698</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2,116,698</w:t>
            </w:r>
          </w:p>
        </w:tc>
        <w:tc>
          <w:tcPr>
            <w:tcW w:w="0" w:type="dxa"/>
            <w:vAlign w:val="bottom"/>
          </w:tcPr>
          <w:p>
            <w:pPr>
              <w:spacing w:after="0"/>
              <w:rPr>
                <w:sz w:val="1"/>
                <w:szCs w:val="1"/>
                <w:color w:val="auto"/>
              </w:rPr>
            </w:pPr>
          </w:p>
        </w:tc>
      </w:tr>
      <w:tr>
        <w:trPr>
          <w:trHeight w:val="229"/>
        </w:trPr>
        <w:tc>
          <w:tcPr>
            <w:tcW w:w="520" w:type="dxa"/>
            <w:vAlign w:val="bottom"/>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shd w:val="clear" w:color="auto" w:fill="F3F3F3"/>
          </w:tcPr>
          <w:p>
            <w:pPr>
              <w:ind w:left="80"/>
              <w:spacing w:after="0"/>
              <w:rPr>
                <w:sz w:val="20"/>
                <w:szCs w:val="20"/>
                <w:color w:val="auto"/>
              </w:rPr>
            </w:pPr>
            <w:r>
              <w:rPr>
                <w:rFonts w:ascii="Arial" w:cs="Arial" w:eastAsia="Arial" w:hAnsi="Arial"/>
                <w:sz w:val="16"/>
                <w:szCs w:val="16"/>
                <w:color w:val="auto"/>
              </w:rPr>
              <w:t>Death</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650,000</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1,452,795</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2,102,795</w:t>
            </w:r>
          </w:p>
        </w:tc>
        <w:tc>
          <w:tcPr>
            <w:tcW w:w="0" w:type="dxa"/>
            <w:vAlign w:val="bottom"/>
          </w:tcPr>
          <w:p>
            <w:pPr>
              <w:spacing w:after="0"/>
              <w:rPr>
                <w:sz w:val="1"/>
                <w:szCs w:val="1"/>
                <w:color w:val="auto"/>
              </w:rPr>
            </w:pPr>
          </w:p>
        </w:tc>
      </w:tr>
      <w:tr>
        <w:trPr>
          <w:trHeight w:val="233"/>
        </w:trPr>
        <w:tc>
          <w:tcPr>
            <w:tcW w:w="520" w:type="dxa"/>
            <w:vAlign w:val="bottom"/>
            <w:tcBorders>
              <w:bottom w:val="single" w:sz="8" w:color="BFBFBF"/>
            </w:tcBorders>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Borders>
              <w:bottom w:val="single" w:sz="8" w:color="BFBFBF"/>
            </w:tcBorders>
            <w:shd w:val="clear" w:color="auto" w:fill="F3F3F3"/>
          </w:tcPr>
          <w:p>
            <w:pPr>
              <w:ind w:left="80"/>
              <w:spacing w:after="0"/>
              <w:rPr>
                <w:sz w:val="20"/>
                <w:szCs w:val="20"/>
                <w:color w:val="auto"/>
              </w:rPr>
            </w:pPr>
            <w:r>
              <w:rPr>
                <w:rFonts w:ascii="Arial" w:cs="Arial" w:eastAsia="Arial" w:hAnsi="Arial"/>
                <w:sz w:val="16"/>
                <w:szCs w:val="16"/>
                <w:color w:val="auto"/>
              </w:rPr>
              <w:t>Disability</w:t>
            </w:r>
          </w:p>
        </w:tc>
        <w:tc>
          <w:tcPr>
            <w:tcW w:w="1000" w:type="dxa"/>
            <w:vAlign w:val="bottom"/>
            <w:tcBorders>
              <w:bottom w:val="single" w:sz="8" w:color="BFBFBF"/>
            </w:tcBorders>
            <w:shd w:val="clear" w:color="auto" w:fill="F3F3F3"/>
          </w:tcPr>
          <w:p>
            <w:pPr>
              <w:jc w:val="right"/>
              <w:spacing w:after="0"/>
              <w:rPr>
                <w:sz w:val="20"/>
                <w:szCs w:val="20"/>
                <w:color w:val="auto"/>
              </w:rPr>
            </w:pPr>
            <w:r>
              <w:rPr>
                <w:rFonts w:ascii="Arial" w:cs="Arial" w:eastAsia="Arial" w:hAnsi="Arial"/>
                <w:sz w:val="16"/>
                <w:szCs w:val="16"/>
                <w:color w:val="auto"/>
              </w:rPr>
              <w:t>650,000</w:t>
            </w:r>
          </w:p>
        </w:tc>
        <w:tc>
          <w:tcPr>
            <w:tcW w:w="1300" w:type="dxa"/>
            <w:vAlign w:val="bottom"/>
            <w:tcBorders>
              <w:bottom w:val="single" w:sz="8" w:color="BFBFBF"/>
            </w:tcBorders>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BFBF"/>
            </w:tcBorders>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BFBF"/>
            </w:tcBorders>
            <w:shd w:val="clear" w:color="auto" w:fill="F3F3F3"/>
          </w:tcPr>
          <w:p>
            <w:pPr>
              <w:jc w:val="right"/>
              <w:ind w:right="140"/>
              <w:spacing w:after="0"/>
              <w:rPr>
                <w:sz w:val="20"/>
                <w:szCs w:val="20"/>
                <w:color w:val="auto"/>
              </w:rPr>
            </w:pPr>
            <w:r>
              <w:rPr>
                <w:rFonts w:ascii="Arial" w:cs="Arial" w:eastAsia="Arial" w:hAnsi="Arial"/>
                <w:sz w:val="16"/>
                <w:szCs w:val="16"/>
                <w:color w:val="auto"/>
              </w:rPr>
              <w:t>1,452,795</w:t>
            </w:r>
          </w:p>
        </w:tc>
        <w:tc>
          <w:tcPr>
            <w:tcW w:w="1040" w:type="dxa"/>
            <w:vAlign w:val="bottom"/>
            <w:tcBorders>
              <w:bottom w:val="single" w:sz="8" w:color="BFBFBF"/>
            </w:tcBorders>
            <w:shd w:val="clear" w:color="auto" w:fill="F3F3F3"/>
          </w:tcPr>
          <w:p>
            <w:pPr>
              <w:jc w:val="right"/>
              <w:ind w:right="40"/>
              <w:spacing w:after="0"/>
              <w:rPr>
                <w:sz w:val="20"/>
                <w:szCs w:val="20"/>
                <w:color w:val="auto"/>
              </w:rPr>
            </w:pPr>
            <w:r>
              <w:rPr>
                <w:rFonts w:ascii="Arial" w:cs="Arial" w:eastAsia="Arial" w:hAnsi="Arial"/>
                <w:sz w:val="16"/>
                <w:szCs w:val="16"/>
                <w:color w:val="auto"/>
              </w:rPr>
              <w:t>2,102,795</w:t>
            </w:r>
          </w:p>
        </w:tc>
        <w:tc>
          <w:tcPr>
            <w:tcW w:w="0" w:type="dxa"/>
            <w:vAlign w:val="bottom"/>
          </w:tcPr>
          <w:p>
            <w:pPr>
              <w:spacing w:after="0"/>
              <w:rPr>
                <w:sz w:val="1"/>
                <w:szCs w:val="1"/>
                <w:color w:val="auto"/>
              </w:rPr>
            </w:pPr>
          </w:p>
        </w:tc>
      </w:tr>
      <w:tr>
        <w:trPr>
          <w:trHeight w:val="231"/>
        </w:trPr>
        <w:tc>
          <w:tcPr>
            <w:tcW w:w="5640" w:type="dxa"/>
            <w:vAlign w:val="bottom"/>
            <w:gridSpan w:val="2"/>
          </w:tcPr>
          <w:p>
            <w:pPr>
              <w:ind w:left="140"/>
              <w:spacing w:after="0"/>
              <w:rPr>
                <w:sz w:val="20"/>
                <w:szCs w:val="20"/>
                <w:color w:val="auto"/>
              </w:rPr>
            </w:pPr>
            <w:r>
              <w:rPr>
                <w:rFonts w:ascii="Arial" w:cs="Arial" w:eastAsia="Arial" w:hAnsi="Arial"/>
                <w:sz w:val="18"/>
                <w:szCs w:val="18"/>
                <w:b w:val="1"/>
                <w:bCs w:val="1"/>
                <w:color w:val="0033A0"/>
              </w:rPr>
              <w:t>Mr. Lawlor</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Voluntary termination</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640" w:type="dxa"/>
            <w:vAlign w:val="bottom"/>
            <w:gridSpan w:val="2"/>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termination without cause</w:t>
            </w:r>
          </w:p>
        </w:tc>
        <w:tc>
          <w:tcPr>
            <w:tcW w:w="1000" w:type="dxa"/>
            <w:vAlign w:val="bottom"/>
          </w:tcPr>
          <w:p>
            <w:pPr>
              <w:jc w:val="right"/>
              <w:spacing w:after="0"/>
              <w:rPr>
                <w:sz w:val="20"/>
                <w:szCs w:val="20"/>
                <w:color w:val="auto"/>
              </w:rPr>
            </w:pPr>
            <w:r>
              <w:rPr>
                <w:rFonts w:ascii="Arial" w:cs="Arial" w:eastAsia="Arial" w:hAnsi="Arial"/>
                <w:sz w:val="16"/>
                <w:szCs w:val="16"/>
                <w:color w:val="auto"/>
              </w:rPr>
              <w:t>1,120,000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14,293</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1,632,666</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2,766,959</w:t>
            </w:r>
          </w:p>
        </w:tc>
        <w:tc>
          <w:tcPr>
            <w:tcW w:w="0" w:type="dxa"/>
            <w:vAlign w:val="bottom"/>
          </w:tcPr>
          <w:p>
            <w:pPr>
              <w:spacing w:after="0"/>
              <w:rPr>
                <w:sz w:val="1"/>
                <w:szCs w:val="1"/>
                <w:color w:val="auto"/>
              </w:rPr>
            </w:pPr>
          </w:p>
        </w:tc>
      </w:tr>
      <w:tr>
        <w:trPr>
          <w:trHeight w:val="229"/>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CIC</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1,632,666</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1,632,666</w:t>
            </w:r>
          </w:p>
        </w:tc>
        <w:tc>
          <w:tcPr>
            <w:tcW w:w="0" w:type="dxa"/>
            <w:vAlign w:val="bottom"/>
          </w:tcPr>
          <w:p>
            <w:pPr>
              <w:spacing w:after="0"/>
              <w:rPr>
                <w:sz w:val="1"/>
                <w:szCs w:val="1"/>
                <w:color w:val="auto"/>
              </w:rPr>
            </w:pPr>
          </w:p>
        </w:tc>
      </w:tr>
      <w:tr>
        <w:trPr>
          <w:trHeight w:val="230"/>
        </w:trPr>
        <w:tc>
          <w:tcPr>
            <w:tcW w:w="5640" w:type="dxa"/>
            <w:vAlign w:val="bottom"/>
            <w:gridSpan w:val="2"/>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or good reason termination after a CIC</w:t>
            </w:r>
          </w:p>
        </w:tc>
        <w:tc>
          <w:tcPr>
            <w:tcW w:w="1000" w:type="dxa"/>
            <w:vAlign w:val="bottom"/>
          </w:tcPr>
          <w:p>
            <w:pPr>
              <w:jc w:val="right"/>
              <w:spacing w:after="0"/>
              <w:rPr>
                <w:sz w:val="20"/>
                <w:szCs w:val="20"/>
                <w:color w:val="auto"/>
              </w:rPr>
            </w:pPr>
            <w:r>
              <w:rPr>
                <w:rFonts w:ascii="Arial" w:cs="Arial" w:eastAsia="Arial" w:hAnsi="Arial"/>
                <w:sz w:val="16"/>
                <w:szCs w:val="16"/>
                <w:color w:val="auto"/>
              </w:rPr>
              <w:t>2,240,000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28,586</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2,268,586</w:t>
            </w:r>
          </w:p>
        </w:tc>
        <w:tc>
          <w:tcPr>
            <w:tcW w:w="0" w:type="dxa"/>
            <w:vAlign w:val="bottom"/>
          </w:tcPr>
          <w:p>
            <w:pPr>
              <w:spacing w:after="0"/>
              <w:rPr>
                <w:sz w:val="1"/>
                <w:szCs w:val="1"/>
                <w:color w:val="auto"/>
              </w:rPr>
            </w:pPr>
          </w:p>
        </w:tc>
      </w:tr>
      <w:tr>
        <w:trPr>
          <w:trHeight w:val="229"/>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Death</w:t>
            </w:r>
          </w:p>
        </w:tc>
        <w:tc>
          <w:tcPr>
            <w:tcW w:w="1000" w:type="dxa"/>
            <w:vAlign w:val="bottom"/>
          </w:tcPr>
          <w:p>
            <w:pPr>
              <w:jc w:val="right"/>
              <w:spacing w:after="0"/>
              <w:rPr>
                <w:sz w:val="20"/>
                <w:szCs w:val="20"/>
                <w:color w:val="auto"/>
              </w:rPr>
            </w:pPr>
            <w:r>
              <w:rPr>
                <w:rFonts w:ascii="Arial" w:cs="Arial" w:eastAsia="Arial" w:hAnsi="Arial"/>
                <w:sz w:val="16"/>
                <w:szCs w:val="16"/>
                <w:color w:val="auto"/>
              </w:rPr>
              <w:t>700,000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1,632,666</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2,332,666</w:t>
            </w:r>
          </w:p>
        </w:tc>
        <w:tc>
          <w:tcPr>
            <w:tcW w:w="0" w:type="dxa"/>
            <w:vAlign w:val="bottom"/>
          </w:tcPr>
          <w:p>
            <w:pPr>
              <w:spacing w:after="0"/>
              <w:rPr>
                <w:sz w:val="1"/>
                <w:szCs w:val="1"/>
                <w:color w:val="auto"/>
              </w:rPr>
            </w:pPr>
          </w:p>
        </w:tc>
      </w:tr>
      <w:tr>
        <w:trPr>
          <w:trHeight w:val="233"/>
        </w:trPr>
        <w:tc>
          <w:tcPr>
            <w:tcW w:w="520" w:type="dxa"/>
            <w:vAlign w:val="bottom"/>
            <w:tcBorders>
              <w:bottom w:val="single" w:sz="8" w:color="BFBFBF"/>
            </w:tcBorders>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Borders>
              <w:bottom w:val="single" w:sz="8" w:color="BFBFBF"/>
            </w:tcBorders>
          </w:tcPr>
          <w:p>
            <w:pPr>
              <w:ind w:left="80"/>
              <w:spacing w:after="0"/>
              <w:rPr>
                <w:sz w:val="20"/>
                <w:szCs w:val="20"/>
                <w:color w:val="auto"/>
              </w:rPr>
            </w:pPr>
            <w:r>
              <w:rPr>
                <w:rFonts w:ascii="Arial" w:cs="Arial" w:eastAsia="Arial" w:hAnsi="Arial"/>
                <w:sz w:val="16"/>
                <w:szCs w:val="16"/>
                <w:color w:val="auto"/>
              </w:rPr>
              <w:t>Disability</w:t>
            </w: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700,000</w:t>
            </w:r>
          </w:p>
        </w:tc>
        <w:tc>
          <w:tcPr>
            <w:tcW w:w="1300" w:type="dxa"/>
            <w:vAlign w:val="bottom"/>
            <w:tcBorders>
              <w:bottom w:val="single" w:sz="8" w:color="BFBFBF"/>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BFBF"/>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BFBF"/>
            </w:tcBorders>
          </w:tcPr>
          <w:p>
            <w:pPr>
              <w:jc w:val="right"/>
              <w:ind w:right="140"/>
              <w:spacing w:after="0"/>
              <w:rPr>
                <w:sz w:val="20"/>
                <w:szCs w:val="20"/>
                <w:color w:val="auto"/>
              </w:rPr>
            </w:pPr>
            <w:r>
              <w:rPr>
                <w:rFonts w:ascii="Arial" w:cs="Arial" w:eastAsia="Arial" w:hAnsi="Arial"/>
                <w:sz w:val="16"/>
                <w:szCs w:val="16"/>
                <w:color w:val="auto"/>
              </w:rPr>
              <w:t>1,632,666</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2,332,666</w:t>
            </w:r>
          </w:p>
        </w:tc>
        <w:tc>
          <w:tcPr>
            <w:tcW w:w="0" w:type="dxa"/>
            <w:vAlign w:val="bottom"/>
          </w:tcPr>
          <w:p>
            <w:pPr>
              <w:spacing w:after="0"/>
              <w:rPr>
                <w:sz w:val="1"/>
                <w:szCs w:val="1"/>
                <w:color w:val="auto"/>
              </w:rPr>
            </w:pPr>
          </w:p>
        </w:tc>
      </w:tr>
      <w:tr>
        <w:trPr>
          <w:trHeight w:val="226"/>
        </w:trPr>
        <w:tc>
          <w:tcPr>
            <w:tcW w:w="5640" w:type="dxa"/>
            <w:vAlign w:val="bottom"/>
            <w:gridSpan w:val="2"/>
            <w:shd w:val="clear" w:color="auto" w:fill="F3F3F3"/>
          </w:tcPr>
          <w:p>
            <w:pPr>
              <w:ind w:left="140"/>
              <w:spacing w:after="0"/>
              <w:rPr>
                <w:sz w:val="20"/>
                <w:szCs w:val="20"/>
                <w:color w:val="auto"/>
              </w:rPr>
            </w:pPr>
            <w:r>
              <w:rPr>
                <w:rFonts w:ascii="Arial" w:cs="Arial" w:eastAsia="Arial" w:hAnsi="Arial"/>
                <w:sz w:val="18"/>
                <w:szCs w:val="18"/>
                <w:b w:val="1"/>
                <w:bCs w:val="1"/>
                <w:color w:val="0033A0"/>
              </w:rPr>
              <w:t>Mr. Appleton</w:t>
            </w:r>
          </w:p>
        </w:tc>
        <w:tc>
          <w:tcPr>
            <w:tcW w:w="100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100" w:type="dxa"/>
            <w:vAlign w:val="bottom"/>
            <w:shd w:val="clear" w:color="auto" w:fill="F3F3F3"/>
          </w:tcPr>
          <w:p>
            <w:pPr>
              <w:spacing w:after="0"/>
              <w:rPr>
                <w:sz w:val="19"/>
                <w:szCs w:val="19"/>
                <w:color w:val="auto"/>
              </w:rPr>
            </w:pPr>
          </w:p>
        </w:tc>
        <w:tc>
          <w:tcPr>
            <w:tcW w:w="10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shd w:val="clear" w:color="auto" w:fill="F3F3F3"/>
          </w:tcPr>
          <w:p>
            <w:pPr>
              <w:ind w:left="80"/>
              <w:spacing w:after="0" w:line="230" w:lineRule="exact"/>
              <w:rPr>
                <w:sz w:val="20"/>
                <w:szCs w:val="20"/>
                <w:color w:val="auto"/>
              </w:rPr>
            </w:pPr>
            <w:r>
              <w:rPr>
                <w:rFonts w:ascii="Arial" w:cs="Arial" w:eastAsia="Arial" w:hAnsi="Arial"/>
                <w:sz w:val="16"/>
                <w:szCs w:val="16"/>
                <w:color w:val="auto"/>
              </w:rPr>
              <w:t>Voluntary termination</w:t>
            </w:r>
            <w:r>
              <w:rPr>
                <w:rFonts w:ascii="Arial" w:cs="Arial" w:eastAsia="Arial" w:hAnsi="Arial"/>
                <w:sz w:val="26"/>
                <w:szCs w:val="26"/>
                <w:color w:val="auto"/>
                <w:vertAlign w:val="superscript"/>
              </w:rPr>
              <w:t>(6)</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2,771</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1,373,241</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1,376,012</w:t>
            </w: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F3F3F3"/>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termination without cause</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814,400</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2,771</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14,977</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1,373,241</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2,205,389</w:t>
            </w:r>
          </w:p>
        </w:tc>
        <w:tc>
          <w:tcPr>
            <w:tcW w:w="0" w:type="dxa"/>
            <w:vAlign w:val="bottom"/>
          </w:tcPr>
          <w:p>
            <w:pPr>
              <w:spacing w:after="0"/>
              <w:rPr>
                <w:sz w:val="1"/>
                <w:szCs w:val="1"/>
                <w:color w:val="auto"/>
              </w:rPr>
            </w:pPr>
          </w:p>
        </w:tc>
      </w:tr>
      <w:tr>
        <w:trPr>
          <w:trHeight w:val="230"/>
        </w:trPr>
        <w:tc>
          <w:tcPr>
            <w:tcW w:w="520" w:type="dxa"/>
            <w:vAlign w:val="bottom"/>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shd w:val="clear" w:color="auto" w:fill="F3F3F3"/>
          </w:tcPr>
          <w:p>
            <w:pPr>
              <w:ind w:left="80"/>
              <w:spacing w:after="0"/>
              <w:rPr>
                <w:sz w:val="20"/>
                <w:szCs w:val="20"/>
                <w:color w:val="auto"/>
              </w:rPr>
            </w:pPr>
            <w:r>
              <w:rPr>
                <w:rFonts w:ascii="Arial" w:cs="Arial" w:eastAsia="Arial" w:hAnsi="Arial"/>
                <w:sz w:val="16"/>
                <w:szCs w:val="16"/>
                <w:color w:val="auto"/>
              </w:rPr>
              <w:t>CIC</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1,373,241</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1,373,241</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F3F3F3"/>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or good reason termination after a CIC</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1,628,800</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7,016</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29,954</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1,665,770</w:t>
            </w:r>
          </w:p>
        </w:tc>
        <w:tc>
          <w:tcPr>
            <w:tcW w:w="0" w:type="dxa"/>
            <w:vAlign w:val="bottom"/>
          </w:tcPr>
          <w:p>
            <w:pPr>
              <w:spacing w:after="0"/>
              <w:rPr>
                <w:sz w:val="1"/>
                <w:szCs w:val="1"/>
                <w:color w:val="auto"/>
              </w:rPr>
            </w:pPr>
          </w:p>
        </w:tc>
      </w:tr>
      <w:tr>
        <w:trPr>
          <w:trHeight w:val="230"/>
        </w:trPr>
        <w:tc>
          <w:tcPr>
            <w:tcW w:w="520" w:type="dxa"/>
            <w:vAlign w:val="bottom"/>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shd w:val="clear" w:color="auto" w:fill="F3F3F3"/>
          </w:tcPr>
          <w:p>
            <w:pPr>
              <w:ind w:left="80"/>
              <w:spacing w:after="0"/>
              <w:rPr>
                <w:sz w:val="20"/>
                <w:szCs w:val="20"/>
                <w:color w:val="auto"/>
              </w:rPr>
            </w:pPr>
            <w:r>
              <w:rPr>
                <w:rFonts w:ascii="Arial" w:cs="Arial" w:eastAsia="Arial" w:hAnsi="Arial"/>
                <w:sz w:val="16"/>
                <w:szCs w:val="16"/>
                <w:color w:val="auto"/>
              </w:rPr>
              <w:t>Death</w:t>
            </w:r>
          </w:p>
        </w:tc>
        <w:tc>
          <w:tcPr>
            <w:tcW w:w="10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509,000</w:t>
            </w:r>
          </w:p>
        </w:tc>
        <w:tc>
          <w:tcPr>
            <w:tcW w:w="1300" w:type="dxa"/>
            <w:vAlign w:val="bottom"/>
            <w:shd w:val="clear" w:color="auto" w:fill="F3F3F3"/>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3F3F3"/>
          </w:tcPr>
          <w:p>
            <w:pPr>
              <w:jc w:val="right"/>
              <w:ind w:right="140"/>
              <w:spacing w:after="0"/>
              <w:rPr>
                <w:sz w:val="20"/>
                <w:szCs w:val="20"/>
                <w:color w:val="auto"/>
              </w:rPr>
            </w:pPr>
            <w:r>
              <w:rPr>
                <w:rFonts w:ascii="Arial" w:cs="Arial" w:eastAsia="Arial" w:hAnsi="Arial"/>
                <w:sz w:val="16"/>
                <w:szCs w:val="16"/>
                <w:color w:val="auto"/>
              </w:rPr>
              <w:t>1,373,241</w:t>
            </w:r>
          </w:p>
        </w:tc>
        <w:tc>
          <w:tcPr>
            <w:tcW w:w="1040" w:type="dxa"/>
            <w:vAlign w:val="bottom"/>
            <w:shd w:val="clear" w:color="auto" w:fill="F3F3F3"/>
          </w:tcPr>
          <w:p>
            <w:pPr>
              <w:jc w:val="right"/>
              <w:ind w:right="40"/>
              <w:spacing w:after="0"/>
              <w:rPr>
                <w:sz w:val="20"/>
                <w:szCs w:val="20"/>
                <w:color w:val="auto"/>
              </w:rPr>
            </w:pPr>
            <w:r>
              <w:rPr>
                <w:rFonts w:ascii="Arial" w:cs="Arial" w:eastAsia="Arial" w:hAnsi="Arial"/>
                <w:sz w:val="16"/>
                <w:szCs w:val="16"/>
                <w:color w:val="auto"/>
              </w:rPr>
              <w:t>1,882,241</w:t>
            </w:r>
          </w:p>
        </w:tc>
        <w:tc>
          <w:tcPr>
            <w:tcW w:w="0" w:type="dxa"/>
            <w:vAlign w:val="bottom"/>
          </w:tcPr>
          <w:p>
            <w:pPr>
              <w:spacing w:after="0"/>
              <w:rPr>
                <w:sz w:val="1"/>
                <w:szCs w:val="1"/>
                <w:color w:val="auto"/>
              </w:rPr>
            </w:pPr>
          </w:p>
        </w:tc>
      </w:tr>
      <w:tr>
        <w:trPr>
          <w:trHeight w:val="233"/>
        </w:trPr>
        <w:tc>
          <w:tcPr>
            <w:tcW w:w="520" w:type="dxa"/>
            <w:vAlign w:val="bottom"/>
            <w:tcBorders>
              <w:bottom w:val="single" w:sz="8" w:color="BFBFBF"/>
            </w:tcBorders>
            <w:shd w:val="clear" w:color="auto" w:fill="F3F3F3"/>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Borders>
              <w:bottom w:val="single" w:sz="8" w:color="BFBFBF"/>
            </w:tcBorders>
            <w:shd w:val="clear" w:color="auto" w:fill="F3F3F3"/>
          </w:tcPr>
          <w:p>
            <w:pPr>
              <w:ind w:left="80"/>
              <w:spacing w:after="0"/>
              <w:rPr>
                <w:sz w:val="20"/>
                <w:szCs w:val="20"/>
                <w:color w:val="auto"/>
              </w:rPr>
            </w:pPr>
            <w:r>
              <w:rPr>
                <w:rFonts w:ascii="Arial" w:cs="Arial" w:eastAsia="Arial" w:hAnsi="Arial"/>
                <w:sz w:val="16"/>
                <w:szCs w:val="16"/>
                <w:color w:val="auto"/>
              </w:rPr>
              <w:t>Disability</w:t>
            </w:r>
          </w:p>
        </w:tc>
        <w:tc>
          <w:tcPr>
            <w:tcW w:w="1000" w:type="dxa"/>
            <w:vAlign w:val="bottom"/>
            <w:tcBorders>
              <w:bottom w:val="single" w:sz="8" w:color="BFBFBF"/>
            </w:tcBorders>
            <w:shd w:val="clear" w:color="auto" w:fill="F3F3F3"/>
          </w:tcPr>
          <w:p>
            <w:pPr>
              <w:jc w:val="right"/>
              <w:spacing w:after="0"/>
              <w:rPr>
                <w:sz w:val="20"/>
                <w:szCs w:val="20"/>
                <w:color w:val="auto"/>
              </w:rPr>
            </w:pPr>
            <w:r>
              <w:rPr>
                <w:rFonts w:ascii="Arial" w:cs="Arial" w:eastAsia="Arial" w:hAnsi="Arial"/>
                <w:sz w:val="16"/>
                <w:szCs w:val="16"/>
                <w:color w:val="auto"/>
              </w:rPr>
              <w:t>509,000</w:t>
            </w:r>
          </w:p>
        </w:tc>
        <w:tc>
          <w:tcPr>
            <w:tcW w:w="1300" w:type="dxa"/>
            <w:vAlign w:val="bottom"/>
            <w:tcBorders>
              <w:bottom w:val="single" w:sz="8" w:color="BFBFBF"/>
            </w:tcBorders>
            <w:shd w:val="clear" w:color="auto" w:fill="F3F3F3"/>
          </w:tcPr>
          <w:p>
            <w:pPr>
              <w:jc w:val="right"/>
              <w:ind w:right="120"/>
              <w:spacing w:after="0"/>
              <w:rPr>
                <w:sz w:val="20"/>
                <w:szCs w:val="20"/>
                <w:color w:val="auto"/>
              </w:rPr>
            </w:pPr>
            <w:r>
              <w:rPr>
                <w:rFonts w:ascii="Arial" w:cs="Arial" w:eastAsia="Arial" w:hAnsi="Arial"/>
                <w:sz w:val="16"/>
                <w:szCs w:val="16"/>
                <w:color w:val="auto"/>
              </w:rPr>
              <w:t>2,771</w:t>
            </w:r>
          </w:p>
        </w:tc>
        <w:tc>
          <w:tcPr>
            <w:tcW w:w="1160" w:type="dxa"/>
            <w:vAlign w:val="bottom"/>
            <w:tcBorders>
              <w:bottom w:val="single" w:sz="8" w:color="BFBFBF"/>
            </w:tcBorders>
            <w:shd w:val="clear" w:color="auto" w:fill="F3F3F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BFBF"/>
            </w:tcBorders>
            <w:shd w:val="clear" w:color="auto" w:fill="F3F3F3"/>
          </w:tcPr>
          <w:p>
            <w:pPr>
              <w:jc w:val="right"/>
              <w:ind w:right="140"/>
              <w:spacing w:after="0"/>
              <w:rPr>
                <w:sz w:val="20"/>
                <w:szCs w:val="20"/>
                <w:color w:val="auto"/>
              </w:rPr>
            </w:pPr>
            <w:r>
              <w:rPr>
                <w:rFonts w:ascii="Arial" w:cs="Arial" w:eastAsia="Arial" w:hAnsi="Arial"/>
                <w:sz w:val="16"/>
                <w:szCs w:val="16"/>
                <w:color w:val="auto"/>
              </w:rPr>
              <w:t>1,373,241</w:t>
            </w:r>
          </w:p>
        </w:tc>
        <w:tc>
          <w:tcPr>
            <w:tcW w:w="1040" w:type="dxa"/>
            <w:vAlign w:val="bottom"/>
            <w:tcBorders>
              <w:bottom w:val="single" w:sz="8" w:color="BFBFBF"/>
            </w:tcBorders>
            <w:shd w:val="clear" w:color="auto" w:fill="F3F3F3"/>
          </w:tcPr>
          <w:p>
            <w:pPr>
              <w:jc w:val="right"/>
              <w:ind w:right="40"/>
              <w:spacing w:after="0"/>
              <w:rPr>
                <w:sz w:val="20"/>
                <w:szCs w:val="20"/>
                <w:color w:val="auto"/>
              </w:rPr>
            </w:pPr>
            <w:r>
              <w:rPr>
                <w:rFonts w:ascii="Arial" w:cs="Arial" w:eastAsia="Arial" w:hAnsi="Arial"/>
                <w:sz w:val="16"/>
                <w:szCs w:val="16"/>
                <w:color w:val="auto"/>
              </w:rPr>
              <w:t>1,885,012</w:t>
            </w:r>
          </w:p>
        </w:tc>
        <w:tc>
          <w:tcPr>
            <w:tcW w:w="0" w:type="dxa"/>
            <w:vAlign w:val="bottom"/>
          </w:tcPr>
          <w:p>
            <w:pPr>
              <w:spacing w:after="0"/>
              <w:rPr>
                <w:sz w:val="1"/>
                <w:szCs w:val="1"/>
                <w:color w:val="auto"/>
              </w:rPr>
            </w:pPr>
          </w:p>
        </w:tc>
      </w:tr>
      <w:tr>
        <w:trPr>
          <w:trHeight w:val="231"/>
        </w:trPr>
        <w:tc>
          <w:tcPr>
            <w:tcW w:w="5640" w:type="dxa"/>
            <w:vAlign w:val="bottom"/>
            <w:gridSpan w:val="2"/>
          </w:tcPr>
          <w:p>
            <w:pPr>
              <w:ind w:left="140"/>
              <w:spacing w:after="0"/>
              <w:rPr>
                <w:sz w:val="20"/>
                <w:szCs w:val="20"/>
                <w:color w:val="auto"/>
              </w:rPr>
            </w:pPr>
            <w:r>
              <w:rPr>
                <w:rFonts w:ascii="Arial" w:cs="Arial" w:eastAsia="Arial" w:hAnsi="Arial"/>
                <w:sz w:val="18"/>
                <w:szCs w:val="18"/>
                <w:b w:val="1"/>
                <w:bCs w:val="1"/>
                <w:color w:val="0033A0"/>
              </w:rPr>
              <w:t>Ms. Tomlin</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Voluntary termination</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640" w:type="dxa"/>
            <w:vAlign w:val="bottom"/>
            <w:gridSpan w:val="2"/>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termination without cause</w:t>
            </w:r>
          </w:p>
        </w:tc>
        <w:tc>
          <w:tcPr>
            <w:tcW w:w="1000" w:type="dxa"/>
            <w:vAlign w:val="bottom"/>
          </w:tcPr>
          <w:p>
            <w:pPr>
              <w:jc w:val="right"/>
              <w:spacing w:after="0"/>
              <w:rPr>
                <w:sz w:val="20"/>
                <w:szCs w:val="20"/>
                <w:color w:val="auto"/>
              </w:rPr>
            </w:pPr>
            <w:r>
              <w:rPr>
                <w:rFonts w:ascii="Arial" w:cs="Arial" w:eastAsia="Arial" w:hAnsi="Arial"/>
                <w:sz w:val="16"/>
                <w:szCs w:val="16"/>
                <w:color w:val="auto"/>
              </w:rPr>
              <w:t>576,000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16,623</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858,304</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1,450,927</w:t>
            </w:r>
          </w:p>
        </w:tc>
        <w:tc>
          <w:tcPr>
            <w:tcW w:w="0" w:type="dxa"/>
            <w:vAlign w:val="bottom"/>
          </w:tcPr>
          <w:p>
            <w:pPr>
              <w:spacing w:after="0"/>
              <w:rPr>
                <w:sz w:val="1"/>
                <w:szCs w:val="1"/>
                <w:color w:val="auto"/>
              </w:rPr>
            </w:pPr>
          </w:p>
        </w:tc>
      </w:tr>
      <w:tr>
        <w:trPr>
          <w:trHeight w:val="230"/>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CIC</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858,304</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858,304</w:t>
            </w:r>
          </w:p>
        </w:tc>
        <w:tc>
          <w:tcPr>
            <w:tcW w:w="0" w:type="dxa"/>
            <w:vAlign w:val="bottom"/>
          </w:tcPr>
          <w:p>
            <w:pPr>
              <w:spacing w:after="0"/>
              <w:rPr>
                <w:sz w:val="1"/>
                <w:szCs w:val="1"/>
                <w:color w:val="auto"/>
              </w:rPr>
            </w:pPr>
          </w:p>
        </w:tc>
      </w:tr>
      <w:tr>
        <w:trPr>
          <w:trHeight w:val="230"/>
        </w:trPr>
        <w:tc>
          <w:tcPr>
            <w:tcW w:w="5640" w:type="dxa"/>
            <w:vAlign w:val="bottom"/>
            <w:gridSpan w:val="2"/>
          </w:tcPr>
          <w:p>
            <w:pPr>
              <w:ind w:left="3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Involuntary or good reason termination after a CIC</w:t>
            </w:r>
          </w:p>
        </w:tc>
        <w:tc>
          <w:tcPr>
            <w:tcW w:w="1000" w:type="dxa"/>
            <w:vAlign w:val="bottom"/>
          </w:tcPr>
          <w:p>
            <w:pPr>
              <w:jc w:val="right"/>
              <w:spacing w:after="0"/>
              <w:rPr>
                <w:sz w:val="20"/>
                <w:szCs w:val="20"/>
                <w:color w:val="auto"/>
              </w:rPr>
            </w:pPr>
            <w:r>
              <w:rPr>
                <w:rFonts w:ascii="Arial" w:cs="Arial" w:eastAsia="Arial" w:hAnsi="Arial"/>
                <w:sz w:val="16"/>
                <w:szCs w:val="16"/>
                <w:color w:val="auto"/>
              </w:rPr>
              <w:t>1,152,000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33,246</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1,185,246</w:t>
            </w:r>
          </w:p>
        </w:tc>
        <w:tc>
          <w:tcPr>
            <w:tcW w:w="0" w:type="dxa"/>
            <w:vAlign w:val="bottom"/>
          </w:tcPr>
          <w:p>
            <w:pPr>
              <w:spacing w:after="0"/>
              <w:rPr>
                <w:sz w:val="1"/>
                <w:szCs w:val="1"/>
                <w:color w:val="auto"/>
              </w:rPr>
            </w:pPr>
          </w:p>
        </w:tc>
      </w:tr>
      <w:tr>
        <w:trPr>
          <w:trHeight w:val="230"/>
        </w:trPr>
        <w:tc>
          <w:tcPr>
            <w:tcW w:w="520" w:type="dxa"/>
            <w:vAlign w:val="bottom"/>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Death</w:t>
            </w:r>
          </w:p>
        </w:tc>
        <w:tc>
          <w:tcPr>
            <w:tcW w:w="1000" w:type="dxa"/>
            <w:vAlign w:val="bottom"/>
          </w:tcPr>
          <w:p>
            <w:pPr>
              <w:jc w:val="right"/>
              <w:spacing w:after="0"/>
              <w:rPr>
                <w:sz w:val="20"/>
                <w:szCs w:val="20"/>
                <w:color w:val="auto"/>
              </w:rPr>
            </w:pPr>
            <w:r>
              <w:rPr>
                <w:rFonts w:ascii="Arial" w:cs="Arial" w:eastAsia="Arial" w:hAnsi="Arial"/>
                <w:sz w:val="16"/>
                <w:szCs w:val="16"/>
                <w:color w:val="auto"/>
              </w:rPr>
              <w:t>360,000</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858,304</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1,218,304</w:t>
            </w:r>
          </w:p>
        </w:tc>
        <w:tc>
          <w:tcPr>
            <w:tcW w:w="0" w:type="dxa"/>
            <w:vAlign w:val="bottom"/>
          </w:tcPr>
          <w:p>
            <w:pPr>
              <w:spacing w:after="0"/>
              <w:rPr>
                <w:sz w:val="1"/>
                <w:szCs w:val="1"/>
                <w:color w:val="auto"/>
              </w:rPr>
            </w:pPr>
          </w:p>
        </w:tc>
      </w:tr>
      <w:tr>
        <w:trPr>
          <w:trHeight w:val="243"/>
        </w:trPr>
        <w:tc>
          <w:tcPr>
            <w:tcW w:w="520" w:type="dxa"/>
            <w:vAlign w:val="bottom"/>
            <w:tcBorders>
              <w:bottom w:val="single" w:sz="8" w:color="BFBFBF"/>
            </w:tcBorders>
          </w:tcPr>
          <w:p>
            <w:pPr>
              <w:ind w:left="380"/>
              <w:spacing w:after="0"/>
              <w:rPr>
                <w:sz w:val="20"/>
                <w:szCs w:val="20"/>
                <w:color w:val="auto"/>
              </w:rPr>
            </w:pPr>
            <w:r>
              <w:rPr>
                <w:rFonts w:ascii="Arial" w:cs="Arial" w:eastAsia="Arial" w:hAnsi="Arial"/>
                <w:sz w:val="16"/>
                <w:szCs w:val="16"/>
                <w:color w:val="0033A0"/>
              </w:rPr>
              <w:t>•</w:t>
            </w:r>
          </w:p>
        </w:tc>
        <w:tc>
          <w:tcPr>
            <w:tcW w:w="5120" w:type="dxa"/>
            <w:vAlign w:val="bottom"/>
            <w:tcBorders>
              <w:bottom w:val="single" w:sz="8" w:color="BFBFBF"/>
            </w:tcBorders>
          </w:tcPr>
          <w:p>
            <w:pPr>
              <w:ind w:left="80"/>
              <w:spacing w:after="0"/>
              <w:rPr>
                <w:sz w:val="20"/>
                <w:szCs w:val="20"/>
                <w:color w:val="auto"/>
              </w:rPr>
            </w:pPr>
            <w:r>
              <w:rPr>
                <w:rFonts w:ascii="Arial" w:cs="Arial" w:eastAsia="Arial" w:hAnsi="Arial"/>
                <w:sz w:val="16"/>
                <w:szCs w:val="16"/>
                <w:color w:val="auto"/>
              </w:rPr>
              <w:t>Disability</w:t>
            </w:r>
          </w:p>
        </w:tc>
        <w:tc>
          <w:tcPr>
            <w:tcW w:w="10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rPr>
              <w:t>360,000</w:t>
            </w:r>
          </w:p>
        </w:tc>
        <w:tc>
          <w:tcPr>
            <w:tcW w:w="1300" w:type="dxa"/>
            <w:vAlign w:val="bottom"/>
            <w:tcBorders>
              <w:bottom w:val="single" w:sz="8" w:color="BFBFBF"/>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BFBF"/>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BFBF"/>
            </w:tcBorders>
          </w:tcPr>
          <w:p>
            <w:pPr>
              <w:jc w:val="right"/>
              <w:ind w:right="140"/>
              <w:spacing w:after="0"/>
              <w:rPr>
                <w:sz w:val="20"/>
                <w:szCs w:val="20"/>
                <w:color w:val="auto"/>
              </w:rPr>
            </w:pPr>
            <w:r>
              <w:rPr>
                <w:rFonts w:ascii="Arial" w:cs="Arial" w:eastAsia="Arial" w:hAnsi="Arial"/>
                <w:sz w:val="16"/>
                <w:szCs w:val="16"/>
                <w:color w:val="auto"/>
              </w:rPr>
              <w:t>858,304</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1,218,304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right="20" w:hanging="252"/>
        <w:spacing w:after="0" w:line="253"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listed under “Cash Severance Payment” are payable in a lump sum under the terms of the named executive officer’s employment agreement (Mr. Symson only), or the Executive Severance and Change in Control Plan, as applicable.</w:t>
      </w:r>
    </w:p>
    <w:p>
      <w:pPr>
        <w:spacing w:after="0" w:line="65" w:lineRule="exact"/>
        <w:rPr>
          <w:rFonts w:ascii="Arial" w:cs="Arial" w:eastAsia="Arial" w:hAnsi="Arial"/>
          <w:sz w:val="14"/>
          <w:szCs w:val="14"/>
          <w:color w:val="auto"/>
        </w:rPr>
      </w:pPr>
    </w:p>
    <w:p>
      <w:pPr>
        <w:ind w:left="260" w:hanging="252"/>
        <w:spacing w:after="0" w:line="253"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actuarial present value of continued pension benefits, calculated using the pension plan’s provisions for a lump sum payment on January 1, 2021, a discount rate of 2.64 percent for the qualified plan and 2.56 percent for the nonqualified plan and the IRS’s required funding mortality.</w:t>
      </w:r>
    </w:p>
    <w:p>
      <w:pPr>
        <w:spacing w:after="0" w:line="65" w:lineRule="exact"/>
        <w:rPr>
          <w:rFonts w:ascii="Arial" w:cs="Arial" w:eastAsia="Arial" w:hAnsi="Arial"/>
          <w:sz w:val="14"/>
          <w:szCs w:val="14"/>
          <w:color w:val="auto"/>
        </w:rPr>
      </w:pPr>
    </w:p>
    <w:p>
      <w:pPr>
        <w:ind w:left="260" w:hanging="252"/>
        <w:spacing w:after="0" w:line="253"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listed under “Welfare and Other Benefits” include premiums for continued medical, dental and vision insurance. The amount includes financial planning for Mr. Symson, per his employment contract. In 2020, the excise tax gross-up for golden parachutes was eliminated.</w:t>
      </w:r>
    </w:p>
    <w:p>
      <w:pPr>
        <w:spacing w:after="0" w:line="65" w:lineRule="exact"/>
        <w:rPr>
          <w:rFonts w:ascii="Arial" w:cs="Arial" w:eastAsia="Arial" w:hAnsi="Arial"/>
          <w:sz w:val="14"/>
          <w:szCs w:val="14"/>
          <w:color w:val="auto"/>
        </w:rPr>
      </w:pPr>
    </w:p>
    <w:p>
      <w:pPr>
        <w:ind w:left="260" w:right="20" w:hanging="252"/>
        <w:spacing w:after="0" w:line="253"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product of (i) the number of restricted share units outstanding as of December 31, 2020, multiplied by (ii) $15.29 (i.e., the closing market price on December 31, 2020). Please refer to "2020 Outstanding Equity Awards at Fiscal Year-End" table for more detail.</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total payout under each termination category.</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Equity awards vest in full on retirement. Ms. Knutson and Mr. Appleton are retirement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Summary of Various Plans and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for Mr. Symson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Mr. Symson’s employment agreement, as in effect on December 31, 2020, if his employment were terminated without “cause” (including as a result of the non-renewal of the employment agreement by the Company, but not including termination as a result of death or disability), or if Mr. Symson terminated his employment for “good reason”, he would be entitled to receive: (i) a cash severance payment equal to 2 times his annual base salary and target annual incentive, (ii) a pro-rated annual incentive bonus based on actual performance, (iii) continued medical and dental coverage for two years, (iv) reimbursement of up to $15,000 in financial planning expenses for one year, and (v) accelerated vesting of outstanding equity awards.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Mr. Symson provides timely written notice of his intention not to renew the employment agreement and terminates his employment at the expiration of the term, he will be entitled to receive: (i) a cash severance payment equal to one-half of his annual base salary and target annual incentive, (ii) a pro-rated annual incentive bonus based on actual performance, (iii) continued medical and dental coverage for six months, and (iv) reimbursement of up to $15,000 in financial planning expenses for one year.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Mr. Symson’s employment terminates as a result of his death or disability, he (or his estate) will be entitled to receive: (i) a cash severance payment equal to one year of his annual base salary, (ii) a pro-rated annual incentive bonus based on actual performance, and (iii) continued medical and dental coverage for two years.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if any termination of employment described above occurs within two years after a change in control, Mr. Symson’s rights to severance benefits will be governed by the terms of the Company’s Senior Executive Change in Control Plan (described below).</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Mr. Symson must sign a release of claims against the Company prior to receiving the benefits described above. In exchange, Mr. Symson agrees to maintain the confidentiality of the Company’s trade secret information and agrees not to compete with the Company or solicit its employees for 18 months thereafter (or for six months after a termination due to Mr. Symson’s timely notice of non-renewal of the of the employment agreement).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his employment agreement, “cause” generally means a conviction of (or plea of nolo contendere to) a felony (other than traffic-related citations) or other crime involving dishonesty; the willful and material unauthorized disclosure of confidential information; gross misconduct or gross neglect in the performance of his duties; the willful failure to cooperate with a bona fide investigation; or the willful and material violation of the Company’s written conduct policies. “Good reason” generally means a reduction in Mr. Symson’s title, duties, responsibilities or reporting relationship, a reduction of his base salary or target annual incentive opportunity (other than certain across-the-board reductions); a failure to nominate him for re-election or to elect him as a member of the Board; or a breach by the Company of his employment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Severance and Change in Control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named executive officer other than Mr. Symson participates in the Executive Severance and Change in Control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an involuntary termination other than for “cause”, death or disability prior to a change in control, the severance benefit equals: (i) a cash severance payment equal to 1 times the executive’s annual base salary and target annual incentive, (ii) if the termination occurs after the first 45 calendar days of a performance period, a pro-rated annual incentive bonus based on actual performance, (iii) a lump-sum payment for health care premiums for up to one year, and (iv) accelerated vesting of outstanding equity awards.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an involuntary termination other than for “cause”, death or disability, or a resignation for “good reason”, in either case within two years after a change in control, the severance benefit equals: (i) a cash severance payment equal to 2 times the executive’s annual base salary and target annual incentive, (ii) a pro-rated annual incentive bonus based on target performance, (iii) a lump-sum payment for health care premiums for up to one year, (iv) accelerated vesting of outstanding equity awards, and (v) a lump sum payment equal to the actuarial value of the additional benefits under the Company’s qualified and supplemental defined benefit plans that the executive would have received if his or her age (but not years of service) at the time of termination were increased by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Upon a termination due to death or disability (whether before or after a change in control), the severance benefit includes a pro-rated annual incentive, based on actual performance for the entire year, and 12 months of base salary.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Participants must sign a release of claims against the Company prior to receiving these severance benefits. The term “cause” generally has the same meaning as provided in Mr. Symson's employment agreement. The term “good reason” generally includes a reduction in compensation or duties; relocation outside of Cincinnati; or a material breach of the employment terms by the Company. A change in control generally means (i) the acquisition of a majority of the Company’s voting common shares by someone other than a party to the Scripps Family Agreement; (ii) the disposition of assets accounting for 90 percent or more of the Company’s revenues, unless the parties to the Scripps Family Agreement have a direct or indirect controlling interest in the acquiring entity, or (iii) a change in the membership of the Board, such that the current incumbents and their approved successors no longer constitute a majority.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Long-Term Incentive Plan, all outstanding equity awards held by the named executive officers will vest upon a change in control. A change in control generally means (i) the acquisition of a majority of the Company’s voting common shares by someone other than a party to the Scripps Family Agreement; (ii) the disposition of assets accounting for 90 percent or more of the Company’s revenues, unless the parties to the Scripps Family Agreement have a direct or indirect controlling interest in the acquiring entity, or (iii) a change in the membership of the Company’s Board, such that the current incumbents and their approved successors no longer constitute a majority.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named executive officer dies, becomes disabled or retires, then any equity awards issued under the Company’s Long-Term Incentive Plan will become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of 2010 and Item 402(u) of Regulation S-K, we are providing the following information with respect to our last completed fiscal year. The pay ratio information provided below is a reasonable estimate calculated in a manner consistent with Item 402(u)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our 2020 fiscal year:</w:t>
      </w:r>
    </w:p>
    <w:p>
      <w:pPr>
        <w:spacing w:after="0" w:line="117"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0033A0"/>
        </w:rPr>
      </w:pPr>
      <w:r>
        <w:rPr>
          <w:rFonts w:ascii="Arial" w:cs="Arial" w:eastAsia="Arial" w:hAnsi="Arial"/>
          <w:sz w:val="18"/>
          <w:szCs w:val="18"/>
          <w:color w:val="auto"/>
        </w:rPr>
        <w:t>The median of the annual total compensation of all of our employees, excluding the Chief Executive Officer, was estimated to be $64,495;</w:t>
      </w:r>
    </w:p>
    <w:p>
      <w:pPr>
        <w:spacing w:after="0" w:line="117" w:lineRule="exact"/>
        <w:rPr>
          <w:rFonts w:ascii="Arial" w:cs="Arial" w:eastAsia="Arial" w:hAnsi="Arial"/>
          <w:sz w:val="18"/>
          <w:szCs w:val="18"/>
          <w:color w:val="0033A0"/>
        </w:rPr>
      </w:pPr>
    </w:p>
    <w:p>
      <w:pPr>
        <w:ind w:left="260" w:hanging="252"/>
        <w:spacing w:after="0" w:line="277" w:lineRule="auto"/>
        <w:tabs>
          <w:tab w:leader="none" w:pos="260" w:val="left"/>
        </w:tabs>
        <w:numPr>
          <w:ilvl w:val="0"/>
          <w:numId w:val="34"/>
        </w:numPr>
        <w:rPr>
          <w:rFonts w:ascii="Arial" w:cs="Arial" w:eastAsia="Arial" w:hAnsi="Arial"/>
          <w:sz w:val="18"/>
          <w:szCs w:val="18"/>
          <w:color w:val="0033A0"/>
        </w:rPr>
      </w:pPr>
      <w:r>
        <w:rPr>
          <w:rFonts w:ascii="Arial" w:cs="Arial" w:eastAsia="Arial" w:hAnsi="Arial"/>
          <w:sz w:val="18"/>
          <w:szCs w:val="18"/>
          <w:color w:val="auto"/>
        </w:rPr>
        <w:t>The annual total compensation of our Chief Executive Officer was $4,560,510 which, as described below, represents the sum of the compensation earned by Mr. Symson for the year; and</w:t>
      </w:r>
    </w:p>
    <w:p>
      <w:pPr>
        <w:spacing w:after="0" w:line="62" w:lineRule="exact"/>
        <w:rPr>
          <w:rFonts w:ascii="Arial" w:cs="Arial" w:eastAsia="Arial" w:hAnsi="Arial"/>
          <w:sz w:val="18"/>
          <w:szCs w:val="18"/>
          <w:color w:val="0033A0"/>
        </w:rPr>
      </w:pPr>
    </w:p>
    <w:p>
      <w:pPr>
        <w:ind w:left="260" w:hanging="252"/>
        <w:spacing w:after="0" w:line="277" w:lineRule="auto"/>
        <w:tabs>
          <w:tab w:leader="none" w:pos="260" w:val="left"/>
        </w:tabs>
        <w:numPr>
          <w:ilvl w:val="0"/>
          <w:numId w:val="34"/>
        </w:numPr>
        <w:rPr>
          <w:rFonts w:ascii="Arial" w:cs="Arial" w:eastAsia="Arial" w:hAnsi="Arial"/>
          <w:sz w:val="18"/>
          <w:szCs w:val="18"/>
          <w:color w:val="0033A0"/>
        </w:rPr>
      </w:pPr>
      <w:r>
        <w:rPr>
          <w:rFonts w:ascii="Arial" w:cs="Arial" w:eastAsia="Arial" w:hAnsi="Arial"/>
          <w:sz w:val="18"/>
          <w:szCs w:val="18"/>
          <w:color w:val="auto"/>
        </w:rPr>
        <w:t>The ratio of the annual total compensation of our Chief Executive Officer to the median of the annual total compensation of all other employees was estimated to be 70.7 to 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the pay ratio information provided above, we first identified our median employee for the 2020 fiscal year by using the following methodology, assumptions, adjustments and estimates, as permitted by Item 402(u) of Regulation S-K:</w:t>
      </w:r>
    </w:p>
    <w:p>
      <w:pPr>
        <w:spacing w:after="0" w:line="62" w:lineRule="exact"/>
        <w:rPr>
          <w:sz w:val="20"/>
          <w:szCs w:val="20"/>
          <w:color w:val="auto"/>
        </w:rPr>
      </w:pPr>
    </w:p>
    <w:p>
      <w:pPr>
        <w:ind w:left="260" w:hanging="252"/>
        <w:spacing w:after="0" w:line="342" w:lineRule="auto"/>
        <w:tabs>
          <w:tab w:leader="none" w:pos="260" w:val="left"/>
        </w:tabs>
        <w:numPr>
          <w:ilvl w:val="0"/>
          <w:numId w:val="35"/>
        </w:numPr>
        <w:rPr>
          <w:rFonts w:ascii="Arial" w:cs="Arial" w:eastAsia="Arial" w:hAnsi="Arial"/>
          <w:sz w:val="16"/>
          <w:szCs w:val="16"/>
          <w:color w:val="0033A0"/>
        </w:rPr>
      </w:pPr>
      <w:r>
        <w:rPr>
          <w:rFonts w:ascii="Arial" w:cs="Arial" w:eastAsia="Arial" w:hAnsi="Arial"/>
          <w:sz w:val="16"/>
          <w:szCs w:val="16"/>
          <w:color w:val="auto"/>
        </w:rPr>
        <w:t>We selected December 1, 2020 as the date upon which we would identify our median employee, and, from our tax and payroll records, we compiled a list of all full-time, part-time, temporary and seasonal employees who were employed on that date, excluding employees working outside of the U.S.</w:t>
      </w:r>
    </w:p>
    <w:p>
      <w:pPr>
        <w:spacing w:after="0" w:line="15" w:lineRule="exact"/>
        <w:rPr>
          <w:rFonts w:ascii="Arial" w:cs="Arial" w:eastAsia="Arial" w:hAnsi="Arial"/>
          <w:sz w:val="16"/>
          <w:szCs w:val="16"/>
          <w:color w:val="0033A0"/>
        </w:rPr>
      </w:pPr>
    </w:p>
    <w:p>
      <w:pPr>
        <w:jc w:val="both"/>
        <w:ind w:left="260" w:hanging="252"/>
        <w:spacing w:after="0" w:line="311" w:lineRule="auto"/>
        <w:tabs>
          <w:tab w:leader="none" w:pos="260" w:val="left"/>
        </w:tabs>
        <w:numPr>
          <w:ilvl w:val="0"/>
          <w:numId w:val="35"/>
        </w:numPr>
        <w:rPr>
          <w:rFonts w:ascii="Arial" w:cs="Arial" w:eastAsia="Arial" w:hAnsi="Arial"/>
          <w:sz w:val="16"/>
          <w:szCs w:val="16"/>
          <w:color w:val="0033A0"/>
        </w:rPr>
      </w:pPr>
      <w:r>
        <w:rPr>
          <w:rFonts w:ascii="Arial" w:cs="Arial" w:eastAsia="Arial" w:hAnsi="Arial"/>
          <w:sz w:val="16"/>
          <w:szCs w:val="16"/>
          <w:color w:val="auto"/>
        </w:rPr>
        <w:t>We used total cash compensation during the 2020 fiscal year as a consistently applied compensation measure to identify our median employee from the employees on the list. For this purpose, we define total cash compensation as the sum of base wages and annual incentives payable in cash during the fiscal year. We did not annualize the total cash compensation of any permanent employees who were employed for less than the full 2020 fiscal year.</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our median employee was identified in the manner described above, we calculated the annual total compensation of the median employee using the same methodology that we used to determine the annual total compensation of our named executive officers, as reported in the "2020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The estimated $64,495 annual total compensation of our median employee, as reported above, includes $62,500 in base wages and $1,995 in all other compensation (consisting of all matching contributions made under the Company's 401(k) plan) provided to the median employee with respect to fiscal year 2020, all determined in accordance with methodology we used to determine the annual total compensation of our named executive officers, as reported in the "2020 Summary Compensation Table".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It should be noted that the pay ratio disclosure rules of Item 402(u) of Regulation S-K provide reporting companies with a great deal of flexibility in determining the methodology used to identify the median employee, to calculate the median employee’s annual total compensation and to estimate the ratio of the annual total compensation of the Chief Executive Officer to the median of the annual total compensation of all other employees. As such, our methodology may differ materially from the methodology used by other companies to prepare their pay ratio disclosures, which may contribute to a lack of comparability between our pay ratio and the pay ratio reported by other companies, including those within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compensation earned in 2020 by non-employee directors.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shd w:val="clear" w:color="auto" w:fill="E7E7E8"/>
          </w:tcPr>
          <w:p>
            <w:pPr>
              <w:spacing w:after="0"/>
              <w:rPr>
                <w:sz w:val="14"/>
                <w:szCs w:val="14"/>
                <w:color w:val="auto"/>
              </w:rPr>
            </w:pPr>
          </w:p>
        </w:tc>
        <w:tc>
          <w:tcPr>
            <w:tcW w:w="3020" w:type="dxa"/>
            <w:vAlign w:val="bottom"/>
            <w:vMerge w:val="restart"/>
            <w:shd w:val="clear" w:color="auto" w:fill="E7E7E8"/>
          </w:tcPr>
          <w:p>
            <w:pPr>
              <w:jc w:val="center"/>
              <w:ind w:left="1462"/>
              <w:spacing w:after="0"/>
              <w:rPr>
                <w:sz w:val="20"/>
                <w:szCs w:val="20"/>
                <w:color w:val="auto"/>
              </w:rPr>
            </w:pPr>
            <w:r>
              <w:rPr>
                <w:rFonts w:ascii="Arial" w:cs="Arial" w:eastAsia="Arial" w:hAnsi="Arial"/>
                <w:sz w:val="14"/>
                <w:szCs w:val="14"/>
                <w:b w:val="1"/>
                <w:bCs w:val="1"/>
                <w:color w:val="0033A0"/>
                <w:w w:val="87"/>
              </w:rPr>
              <w:t>Fees</w:t>
            </w:r>
          </w:p>
        </w:tc>
        <w:tc>
          <w:tcPr>
            <w:tcW w:w="1200" w:type="dxa"/>
            <w:vAlign w:val="bottom"/>
            <w:shd w:val="clear" w:color="auto" w:fill="E7E7E8"/>
          </w:tcPr>
          <w:p>
            <w:pPr>
              <w:spacing w:after="0"/>
              <w:rPr>
                <w:sz w:val="14"/>
                <w:szCs w:val="14"/>
                <w:color w:val="auto"/>
              </w:rPr>
            </w:pPr>
          </w:p>
        </w:tc>
        <w:tc>
          <w:tcPr>
            <w:tcW w:w="1820" w:type="dxa"/>
            <w:vAlign w:val="bottom"/>
            <w:shd w:val="clear" w:color="auto" w:fill="E7E7E8"/>
          </w:tcPr>
          <w:p>
            <w:pPr>
              <w:jc w:val="center"/>
              <w:ind w:right="2"/>
              <w:spacing w:after="0"/>
              <w:rPr>
                <w:sz w:val="20"/>
                <w:szCs w:val="20"/>
                <w:color w:val="auto"/>
              </w:rPr>
            </w:pPr>
            <w:r>
              <w:rPr>
                <w:rFonts w:ascii="Arial" w:cs="Arial" w:eastAsia="Arial" w:hAnsi="Arial"/>
                <w:sz w:val="14"/>
                <w:szCs w:val="14"/>
                <w:b w:val="1"/>
                <w:bCs w:val="1"/>
                <w:color w:val="0033A0"/>
                <w:w w:val="90"/>
              </w:rPr>
              <w:t>Change in Pension</w:t>
            </w:r>
          </w:p>
        </w:tc>
        <w:tc>
          <w:tcPr>
            <w:tcW w:w="104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E7E7E8"/>
          </w:tcPr>
          <w:p>
            <w:pPr>
              <w:spacing w:after="0"/>
              <w:rPr>
                <w:sz w:val="12"/>
                <w:szCs w:val="12"/>
                <w:color w:val="auto"/>
              </w:rPr>
            </w:pPr>
          </w:p>
        </w:tc>
        <w:tc>
          <w:tcPr>
            <w:tcW w:w="3020" w:type="dxa"/>
            <w:vAlign w:val="bottom"/>
            <w:vMerge w:val="continue"/>
            <w:shd w:val="clear" w:color="auto" w:fill="E7E7E8"/>
          </w:tcPr>
          <w:p>
            <w:pPr>
              <w:spacing w:after="0"/>
              <w:rPr>
                <w:sz w:val="12"/>
                <w:szCs w:val="12"/>
                <w:color w:val="auto"/>
              </w:rPr>
            </w:pPr>
          </w:p>
        </w:tc>
        <w:tc>
          <w:tcPr>
            <w:tcW w:w="1200" w:type="dxa"/>
            <w:vAlign w:val="bottom"/>
            <w:shd w:val="clear" w:color="auto" w:fill="E7E7E8"/>
          </w:tcPr>
          <w:p>
            <w:pPr>
              <w:spacing w:after="0"/>
              <w:rPr>
                <w:sz w:val="12"/>
                <w:szCs w:val="12"/>
                <w:color w:val="auto"/>
              </w:rPr>
            </w:pPr>
          </w:p>
        </w:tc>
        <w:tc>
          <w:tcPr>
            <w:tcW w:w="1820" w:type="dxa"/>
            <w:vAlign w:val="bottom"/>
            <w:shd w:val="clear" w:color="auto" w:fill="E7E7E8"/>
          </w:tcPr>
          <w:p>
            <w:pPr>
              <w:jc w:val="center"/>
              <w:ind w:right="2"/>
              <w:spacing w:after="0" w:line="149" w:lineRule="exact"/>
              <w:rPr>
                <w:sz w:val="20"/>
                <w:szCs w:val="20"/>
                <w:color w:val="auto"/>
              </w:rPr>
            </w:pPr>
            <w:r>
              <w:rPr>
                <w:rFonts w:ascii="Arial" w:cs="Arial" w:eastAsia="Arial" w:hAnsi="Arial"/>
                <w:sz w:val="14"/>
                <w:szCs w:val="14"/>
                <w:b w:val="1"/>
                <w:bCs w:val="1"/>
                <w:color w:val="0033A0"/>
                <w:w w:val="93"/>
              </w:rPr>
              <w:t>Value and</w:t>
            </w:r>
          </w:p>
        </w:tc>
        <w:tc>
          <w:tcPr>
            <w:tcW w:w="104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E7E7E8"/>
          </w:tcPr>
          <w:p>
            <w:pPr>
              <w:spacing w:after="0"/>
              <w:rPr>
                <w:sz w:val="12"/>
                <w:szCs w:val="12"/>
                <w:color w:val="auto"/>
              </w:rPr>
            </w:pPr>
          </w:p>
        </w:tc>
        <w:tc>
          <w:tcPr>
            <w:tcW w:w="3020" w:type="dxa"/>
            <w:vAlign w:val="bottom"/>
            <w:shd w:val="clear" w:color="auto" w:fill="E7E7E8"/>
          </w:tcPr>
          <w:p>
            <w:pPr>
              <w:jc w:val="center"/>
              <w:ind w:left="1442"/>
              <w:spacing w:after="0" w:line="149" w:lineRule="exact"/>
              <w:rPr>
                <w:sz w:val="20"/>
                <w:szCs w:val="20"/>
                <w:color w:val="auto"/>
              </w:rPr>
            </w:pPr>
            <w:r>
              <w:rPr>
                <w:rFonts w:ascii="Arial" w:cs="Arial" w:eastAsia="Arial" w:hAnsi="Arial"/>
                <w:sz w:val="14"/>
                <w:szCs w:val="14"/>
                <w:b w:val="1"/>
                <w:bCs w:val="1"/>
                <w:color w:val="0033A0"/>
                <w:w w:val="94"/>
              </w:rPr>
              <w:t>Earned or</w:t>
            </w:r>
          </w:p>
        </w:tc>
        <w:tc>
          <w:tcPr>
            <w:tcW w:w="1200" w:type="dxa"/>
            <w:vAlign w:val="bottom"/>
            <w:vMerge w:val="restart"/>
            <w:shd w:val="clear" w:color="auto" w:fill="E7E7E8"/>
          </w:tcPr>
          <w:p>
            <w:pPr>
              <w:jc w:val="center"/>
              <w:ind w:left="101"/>
              <w:spacing w:after="0"/>
              <w:rPr>
                <w:sz w:val="20"/>
                <w:szCs w:val="20"/>
                <w:color w:val="auto"/>
              </w:rPr>
            </w:pPr>
            <w:r>
              <w:rPr>
                <w:rFonts w:ascii="Arial" w:cs="Arial" w:eastAsia="Arial" w:hAnsi="Arial"/>
                <w:sz w:val="14"/>
                <w:szCs w:val="14"/>
                <w:b w:val="1"/>
                <w:bCs w:val="1"/>
                <w:color w:val="0033A0"/>
                <w:w w:val="89"/>
              </w:rPr>
              <w:t>Stock</w:t>
            </w:r>
          </w:p>
        </w:tc>
        <w:tc>
          <w:tcPr>
            <w:tcW w:w="1820" w:type="dxa"/>
            <w:vAlign w:val="bottom"/>
            <w:shd w:val="clear" w:color="auto" w:fill="E7E7E8"/>
          </w:tcPr>
          <w:p>
            <w:pPr>
              <w:jc w:val="center"/>
              <w:ind w:right="22"/>
              <w:spacing w:after="0" w:line="149" w:lineRule="exact"/>
              <w:rPr>
                <w:sz w:val="20"/>
                <w:szCs w:val="20"/>
                <w:color w:val="auto"/>
              </w:rPr>
            </w:pPr>
            <w:r>
              <w:rPr>
                <w:rFonts w:ascii="Arial" w:cs="Arial" w:eastAsia="Arial" w:hAnsi="Arial"/>
                <w:sz w:val="14"/>
                <w:szCs w:val="14"/>
                <w:b w:val="1"/>
                <w:bCs w:val="1"/>
                <w:color w:val="0033A0"/>
                <w:w w:val="94"/>
              </w:rPr>
              <w:t>Nonqualified</w:t>
            </w:r>
          </w:p>
        </w:tc>
        <w:tc>
          <w:tcPr>
            <w:tcW w:w="104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E7E7E8"/>
          </w:tcPr>
          <w:p>
            <w:pPr>
              <w:spacing w:after="0"/>
              <w:rPr>
                <w:sz w:val="12"/>
                <w:szCs w:val="12"/>
                <w:color w:val="auto"/>
              </w:rPr>
            </w:pPr>
          </w:p>
        </w:tc>
        <w:tc>
          <w:tcPr>
            <w:tcW w:w="3020" w:type="dxa"/>
            <w:vAlign w:val="bottom"/>
            <w:shd w:val="clear" w:color="auto" w:fill="E7E7E8"/>
          </w:tcPr>
          <w:p>
            <w:pPr>
              <w:jc w:val="center"/>
              <w:ind w:left="1462"/>
              <w:spacing w:after="0" w:line="149" w:lineRule="exact"/>
              <w:rPr>
                <w:sz w:val="20"/>
                <w:szCs w:val="20"/>
                <w:color w:val="auto"/>
              </w:rPr>
            </w:pPr>
            <w:r>
              <w:rPr>
                <w:rFonts w:ascii="Arial" w:cs="Arial" w:eastAsia="Arial" w:hAnsi="Arial"/>
                <w:sz w:val="14"/>
                <w:szCs w:val="14"/>
                <w:b w:val="1"/>
                <w:bCs w:val="1"/>
                <w:color w:val="0033A0"/>
                <w:w w:val="95"/>
              </w:rPr>
              <w:t>Paid in</w:t>
            </w:r>
          </w:p>
        </w:tc>
        <w:tc>
          <w:tcPr>
            <w:tcW w:w="1200" w:type="dxa"/>
            <w:vAlign w:val="bottom"/>
            <w:vMerge w:val="continue"/>
            <w:shd w:val="clear" w:color="auto" w:fill="E7E7E8"/>
          </w:tcPr>
          <w:p>
            <w:pPr>
              <w:spacing w:after="0"/>
              <w:rPr>
                <w:sz w:val="12"/>
                <w:szCs w:val="12"/>
                <w:color w:val="auto"/>
              </w:rPr>
            </w:pPr>
          </w:p>
        </w:tc>
        <w:tc>
          <w:tcPr>
            <w:tcW w:w="1820" w:type="dxa"/>
            <w:vAlign w:val="bottom"/>
            <w:shd w:val="clear" w:color="auto" w:fill="E7E7E8"/>
          </w:tcPr>
          <w:p>
            <w:pPr>
              <w:jc w:val="center"/>
              <w:ind w:right="2"/>
              <w:spacing w:after="0" w:line="149" w:lineRule="exact"/>
              <w:rPr>
                <w:sz w:val="20"/>
                <w:szCs w:val="20"/>
                <w:color w:val="auto"/>
              </w:rPr>
            </w:pPr>
            <w:r>
              <w:rPr>
                <w:rFonts w:ascii="Arial" w:cs="Arial" w:eastAsia="Arial" w:hAnsi="Arial"/>
                <w:sz w:val="14"/>
                <w:szCs w:val="14"/>
                <w:b w:val="1"/>
                <w:bCs w:val="1"/>
                <w:color w:val="0033A0"/>
                <w:w w:val="93"/>
              </w:rPr>
              <w:t>Deferred</w:t>
            </w:r>
          </w:p>
        </w:tc>
        <w:tc>
          <w:tcPr>
            <w:tcW w:w="1040" w:type="dxa"/>
            <w:vAlign w:val="bottom"/>
            <w:vMerge w:val="restart"/>
            <w:shd w:val="clear" w:color="auto" w:fill="E7E7E8"/>
          </w:tcPr>
          <w:p>
            <w:pPr>
              <w:jc w:val="right"/>
              <w:ind w:right="280"/>
              <w:spacing w:after="0"/>
              <w:rPr>
                <w:sz w:val="20"/>
                <w:szCs w:val="20"/>
                <w:color w:val="auto"/>
              </w:rPr>
            </w:pPr>
            <w:r>
              <w:rPr>
                <w:rFonts w:ascii="Arial" w:cs="Arial" w:eastAsia="Arial" w:hAnsi="Arial"/>
                <w:sz w:val="14"/>
                <w:szCs w:val="14"/>
                <w:b w:val="1"/>
                <w:bCs w:val="1"/>
                <w:color w:val="0033A0"/>
              </w:rPr>
              <w:t>Total</w:t>
            </w:r>
          </w:p>
        </w:tc>
        <w:tc>
          <w:tcPr>
            <w:tcW w:w="0" w:type="dxa"/>
            <w:vAlign w:val="bottom"/>
          </w:tcPr>
          <w:p>
            <w:pPr>
              <w:spacing w:after="0"/>
              <w:rPr>
                <w:sz w:val="1"/>
                <w:szCs w:val="1"/>
                <w:color w:val="auto"/>
              </w:rPr>
            </w:pPr>
          </w:p>
        </w:tc>
      </w:tr>
      <w:tr>
        <w:trPr>
          <w:trHeight w:val="149"/>
        </w:trPr>
        <w:tc>
          <w:tcPr>
            <w:tcW w:w="418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3020" w:type="dxa"/>
            <w:vAlign w:val="bottom"/>
            <w:shd w:val="clear" w:color="auto" w:fill="E7E7E8"/>
          </w:tcPr>
          <w:p>
            <w:pPr>
              <w:jc w:val="center"/>
              <w:ind w:left="1462"/>
              <w:spacing w:after="0" w:line="149" w:lineRule="exact"/>
              <w:rPr>
                <w:sz w:val="20"/>
                <w:szCs w:val="20"/>
                <w:color w:val="auto"/>
              </w:rPr>
            </w:pPr>
            <w:r>
              <w:rPr>
                <w:rFonts w:ascii="Arial" w:cs="Arial" w:eastAsia="Arial" w:hAnsi="Arial"/>
                <w:sz w:val="14"/>
                <w:szCs w:val="14"/>
                <w:b w:val="1"/>
                <w:bCs w:val="1"/>
                <w:color w:val="0033A0"/>
                <w:w w:val="93"/>
              </w:rPr>
              <w:t>Cash</w:t>
            </w:r>
          </w:p>
        </w:tc>
        <w:tc>
          <w:tcPr>
            <w:tcW w:w="1200" w:type="dxa"/>
            <w:vAlign w:val="bottom"/>
            <w:shd w:val="clear" w:color="auto" w:fill="E7E7E8"/>
          </w:tcPr>
          <w:p>
            <w:pPr>
              <w:jc w:val="center"/>
              <w:ind w:left="101"/>
              <w:spacing w:after="0" w:line="149" w:lineRule="exact"/>
              <w:rPr>
                <w:sz w:val="20"/>
                <w:szCs w:val="20"/>
                <w:color w:val="auto"/>
              </w:rPr>
            </w:pPr>
            <w:r>
              <w:rPr>
                <w:rFonts w:ascii="Arial" w:cs="Arial" w:eastAsia="Arial" w:hAnsi="Arial"/>
                <w:sz w:val="14"/>
                <w:szCs w:val="14"/>
                <w:b w:val="1"/>
                <w:bCs w:val="1"/>
                <w:color w:val="0033A0"/>
                <w:w w:val="90"/>
              </w:rPr>
              <w:t>Awards</w:t>
            </w:r>
          </w:p>
        </w:tc>
        <w:tc>
          <w:tcPr>
            <w:tcW w:w="1820" w:type="dxa"/>
            <w:vAlign w:val="bottom"/>
            <w:shd w:val="clear" w:color="auto" w:fill="E7E7E8"/>
          </w:tcPr>
          <w:p>
            <w:pPr>
              <w:jc w:val="center"/>
              <w:ind w:right="2"/>
              <w:spacing w:after="0" w:line="149" w:lineRule="exact"/>
              <w:rPr>
                <w:sz w:val="20"/>
                <w:szCs w:val="20"/>
                <w:color w:val="auto"/>
              </w:rPr>
            </w:pPr>
            <w:r>
              <w:rPr>
                <w:rFonts w:ascii="Arial" w:cs="Arial" w:eastAsia="Arial" w:hAnsi="Arial"/>
                <w:sz w:val="14"/>
                <w:szCs w:val="14"/>
                <w:b w:val="1"/>
                <w:bCs w:val="1"/>
                <w:color w:val="0033A0"/>
                <w:w w:val="92"/>
              </w:rPr>
              <w:t>Compensation</w:t>
            </w:r>
          </w:p>
        </w:tc>
        <w:tc>
          <w:tcPr>
            <w:tcW w:w="1040" w:type="dxa"/>
            <w:vAlign w:val="bottom"/>
            <w:vMerge w:val="continue"/>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tcBorders>
              <w:bottom w:val="single" w:sz="8" w:color="BFBFBF"/>
            </w:tcBorders>
            <w:vMerge w:val="continue"/>
            <w:shd w:val="clear" w:color="auto" w:fill="E7E7E8"/>
          </w:tcPr>
          <w:p>
            <w:pPr>
              <w:spacing w:after="0"/>
              <w:rPr>
                <w:sz w:val="15"/>
                <w:szCs w:val="15"/>
                <w:color w:val="auto"/>
              </w:rPr>
            </w:pPr>
          </w:p>
        </w:tc>
        <w:tc>
          <w:tcPr>
            <w:tcW w:w="3020" w:type="dxa"/>
            <w:vAlign w:val="bottom"/>
            <w:tcBorders>
              <w:bottom w:val="single" w:sz="8" w:color="BFBFBF"/>
            </w:tcBorders>
            <w:shd w:val="clear" w:color="auto" w:fill="E7E7E8"/>
          </w:tcPr>
          <w:p>
            <w:pPr>
              <w:jc w:val="center"/>
              <w:ind w:left="1442"/>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(1)</w:t>
            </w:r>
          </w:p>
        </w:tc>
        <w:tc>
          <w:tcPr>
            <w:tcW w:w="1200" w:type="dxa"/>
            <w:vAlign w:val="bottom"/>
            <w:tcBorders>
              <w:bottom w:val="single" w:sz="8" w:color="BFBFBF"/>
            </w:tcBorders>
            <w:shd w:val="clear" w:color="auto" w:fill="E7E7E8"/>
          </w:tcPr>
          <w:p>
            <w:pPr>
              <w:jc w:val="center"/>
              <w:ind w:left="101"/>
              <w:spacing w:after="0"/>
              <w:rPr>
                <w:sz w:val="20"/>
                <w:szCs w:val="20"/>
                <w:color w:val="auto"/>
              </w:rPr>
            </w:pPr>
            <w:r>
              <w:rPr>
                <w:rFonts w:ascii="Arial" w:cs="Arial" w:eastAsia="Arial" w:hAnsi="Arial"/>
                <w:sz w:val="14"/>
                <w:szCs w:val="14"/>
                <w:b w:val="1"/>
                <w:bCs w:val="1"/>
                <w:color w:val="0033A0"/>
                <w:w w:val="94"/>
              </w:rPr>
              <w:t>($)</w:t>
            </w:r>
            <w:r>
              <w:rPr>
                <w:rFonts w:ascii="Arial" w:cs="Arial" w:eastAsia="Arial" w:hAnsi="Arial"/>
                <w:sz w:val="12"/>
                <w:szCs w:val="12"/>
                <w:b w:val="1"/>
                <w:bCs w:val="1"/>
                <w:color w:val="0033A0"/>
                <w:w w:val="94"/>
              </w:rPr>
              <w:t>(2)</w:t>
            </w:r>
          </w:p>
        </w:tc>
        <w:tc>
          <w:tcPr>
            <w:tcW w:w="1820" w:type="dxa"/>
            <w:vAlign w:val="bottom"/>
            <w:tcBorders>
              <w:bottom w:val="single" w:sz="8" w:color="BFBFBF"/>
            </w:tcBorders>
            <w:shd w:val="clear" w:color="auto" w:fill="E7E7E8"/>
          </w:tcPr>
          <w:p>
            <w:pPr>
              <w:jc w:val="center"/>
              <w:ind w:right="2"/>
              <w:spacing w:after="0"/>
              <w:rPr>
                <w:sz w:val="20"/>
                <w:szCs w:val="20"/>
                <w:color w:val="auto"/>
              </w:rPr>
            </w:pPr>
            <w:r>
              <w:rPr>
                <w:rFonts w:ascii="Arial" w:cs="Arial" w:eastAsia="Arial" w:hAnsi="Arial"/>
                <w:sz w:val="14"/>
                <w:szCs w:val="14"/>
                <w:b w:val="1"/>
                <w:bCs w:val="1"/>
                <w:color w:val="0033A0"/>
                <w:w w:val="94"/>
              </w:rPr>
              <w:t>Earnings ($)</w:t>
            </w:r>
            <w:r>
              <w:rPr>
                <w:rFonts w:ascii="Arial" w:cs="Arial" w:eastAsia="Arial" w:hAnsi="Arial"/>
                <w:sz w:val="12"/>
                <w:szCs w:val="12"/>
                <w:b w:val="1"/>
                <w:bCs w:val="1"/>
                <w:color w:val="0033A0"/>
                <w:w w:val="94"/>
              </w:rPr>
              <w:t>(3)</w:t>
            </w:r>
          </w:p>
        </w:tc>
        <w:tc>
          <w:tcPr>
            <w:tcW w:w="1040" w:type="dxa"/>
            <w:vAlign w:val="bottom"/>
            <w:tcBorders>
              <w:bottom w:val="single" w:sz="8" w:color="BFBFBF"/>
            </w:tcBorders>
            <w:shd w:val="clear" w:color="auto" w:fill="E7E7E8"/>
          </w:tcPr>
          <w:p>
            <w:pPr>
              <w:jc w:val="right"/>
              <w:ind w:right="340"/>
              <w:spacing w:after="0"/>
              <w:rPr>
                <w:sz w:val="20"/>
                <w:szCs w:val="20"/>
                <w:color w:val="auto"/>
              </w:rPr>
            </w:pPr>
            <w:r>
              <w:rPr>
                <w:rFonts w:ascii="Arial" w:cs="Arial" w:eastAsia="Arial" w:hAnsi="Arial"/>
                <w:sz w:val="14"/>
                <w:szCs w:val="14"/>
                <w:b w:val="1"/>
                <w:bCs w:val="1"/>
                <w:color w:val="0033A0"/>
              </w:rPr>
              <w:t>($)</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8"/>
                <w:szCs w:val="18"/>
                <w:b w:val="1"/>
                <w:bCs w:val="1"/>
                <w:color w:val="0033A0"/>
              </w:rPr>
              <w:t>Marcellus W. Alexander, Jr</w:t>
            </w:r>
          </w:p>
        </w:tc>
        <w:tc>
          <w:tcPr>
            <w:tcW w:w="3020" w:type="dxa"/>
            <w:vAlign w:val="bottom"/>
            <w:tcBorders>
              <w:bottom w:val="single" w:sz="8" w:color="BFBFBF"/>
            </w:tcBorders>
            <w:shd w:val="clear" w:color="auto" w:fill="E6E6E6"/>
          </w:tcPr>
          <w:p>
            <w:pPr>
              <w:jc w:val="right"/>
              <w:ind w:right="422"/>
              <w:spacing w:after="0"/>
              <w:rPr>
                <w:sz w:val="20"/>
                <w:szCs w:val="20"/>
                <w:color w:val="auto"/>
              </w:rPr>
            </w:pPr>
            <w:r>
              <w:rPr>
                <w:rFonts w:ascii="Arial" w:cs="Arial" w:eastAsia="Arial" w:hAnsi="Arial"/>
                <w:sz w:val="16"/>
                <w:szCs w:val="16"/>
                <w:color w:val="auto"/>
              </w:rPr>
              <w:t>61,939</w:t>
            </w:r>
          </w:p>
        </w:tc>
        <w:tc>
          <w:tcPr>
            <w:tcW w:w="1200" w:type="dxa"/>
            <w:vAlign w:val="bottom"/>
            <w:tcBorders>
              <w:bottom w:val="single" w:sz="8" w:color="BFBFBF"/>
            </w:tcBorders>
            <w:shd w:val="clear" w:color="auto" w:fill="E6E6E6"/>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shd w:val="clear" w:color="auto" w:fill="E6E6E6"/>
          </w:tcPr>
          <w:p>
            <w:pPr>
              <w:jc w:val="right"/>
              <w:ind w:right="40"/>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Charles L. Barmonde</w:t>
            </w:r>
          </w:p>
        </w:tc>
        <w:tc>
          <w:tcPr>
            <w:tcW w:w="3020" w:type="dxa"/>
            <w:vAlign w:val="bottom"/>
            <w:tcBorders>
              <w:bottom w:val="single" w:sz="8" w:color="BFBFBF"/>
            </w:tcBorders>
          </w:tcPr>
          <w:p>
            <w:pPr>
              <w:jc w:val="right"/>
              <w:ind w:right="422"/>
              <w:spacing w:after="0"/>
              <w:rPr>
                <w:sz w:val="20"/>
                <w:szCs w:val="20"/>
                <w:color w:val="auto"/>
              </w:rPr>
            </w:pPr>
            <w:r>
              <w:rPr>
                <w:rFonts w:ascii="Arial" w:cs="Arial" w:eastAsia="Arial" w:hAnsi="Arial"/>
                <w:sz w:val="16"/>
                <w:szCs w:val="16"/>
                <w:color w:val="auto"/>
              </w:rPr>
              <w:t>60,939</w:t>
            </w:r>
          </w:p>
        </w:tc>
        <w:tc>
          <w:tcPr>
            <w:tcW w:w="1200" w:type="dxa"/>
            <w:vAlign w:val="bottom"/>
            <w:tcBorders>
              <w:bottom w:val="single" w:sz="8" w:color="BFBFBF"/>
            </w:tcBorders>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157,366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8"/>
                <w:szCs w:val="18"/>
                <w:b w:val="1"/>
                <w:bCs w:val="1"/>
                <w:color w:val="0033A0"/>
              </w:rPr>
              <w:t>Richard A. Boehne</w:t>
            </w:r>
            <w:r>
              <w:rPr>
                <w:rFonts w:ascii="Arial" w:cs="Arial" w:eastAsia="Arial" w:hAnsi="Arial"/>
                <w:sz w:val="15"/>
                <w:szCs w:val="15"/>
                <w:b w:val="1"/>
                <w:bCs w:val="1"/>
                <w:color w:val="0033A0"/>
              </w:rPr>
              <w:t>(4)</w:t>
            </w:r>
          </w:p>
        </w:tc>
        <w:tc>
          <w:tcPr>
            <w:tcW w:w="3020" w:type="dxa"/>
            <w:vAlign w:val="bottom"/>
            <w:tcBorders>
              <w:bottom w:val="single" w:sz="8" w:color="BFBFBF"/>
            </w:tcBorders>
            <w:shd w:val="clear" w:color="auto" w:fill="E6E6E6"/>
          </w:tcPr>
          <w:p>
            <w:pPr>
              <w:jc w:val="right"/>
              <w:ind w:right="422"/>
              <w:spacing w:after="0"/>
              <w:rPr>
                <w:sz w:val="20"/>
                <w:szCs w:val="20"/>
                <w:color w:val="auto"/>
              </w:rPr>
            </w:pPr>
            <w:r>
              <w:rPr>
                <w:rFonts w:ascii="Arial" w:cs="Arial" w:eastAsia="Arial" w:hAnsi="Arial"/>
                <w:sz w:val="16"/>
                <w:szCs w:val="16"/>
                <w:color w:val="auto"/>
              </w:rPr>
              <w:t>83,939</w:t>
            </w:r>
          </w:p>
        </w:tc>
        <w:tc>
          <w:tcPr>
            <w:tcW w:w="1200" w:type="dxa"/>
            <w:vAlign w:val="bottom"/>
            <w:tcBorders>
              <w:bottom w:val="single" w:sz="8" w:color="BFBFBF"/>
            </w:tcBorders>
            <w:shd w:val="clear" w:color="auto" w:fill="E6E6E6"/>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shd w:val="clear" w:color="auto" w:fill="E6E6E6"/>
          </w:tcPr>
          <w:p>
            <w:pPr>
              <w:jc w:val="right"/>
              <w:ind w:right="40"/>
              <w:spacing w:after="0"/>
              <w:rPr>
                <w:sz w:val="20"/>
                <w:szCs w:val="20"/>
                <w:color w:val="auto"/>
              </w:rPr>
            </w:pPr>
            <w:r>
              <w:rPr>
                <w:rFonts w:ascii="Arial" w:cs="Arial" w:eastAsia="Arial" w:hAnsi="Arial"/>
                <w:sz w:val="16"/>
                <w:szCs w:val="16"/>
                <w:color w:val="auto"/>
              </w:rPr>
              <w:t>180,366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Kelly P. Conlin</w:t>
            </w:r>
          </w:p>
        </w:tc>
        <w:tc>
          <w:tcPr>
            <w:tcW w:w="3020" w:type="dxa"/>
            <w:vAlign w:val="bottom"/>
            <w:tcBorders>
              <w:bottom w:val="single" w:sz="8" w:color="BFBFBF"/>
            </w:tcBorders>
          </w:tcPr>
          <w:p>
            <w:pPr>
              <w:jc w:val="right"/>
              <w:ind w:right="422"/>
              <w:spacing w:after="0"/>
              <w:rPr>
                <w:sz w:val="20"/>
                <w:szCs w:val="20"/>
                <w:color w:val="auto"/>
              </w:rPr>
            </w:pPr>
            <w:r>
              <w:rPr>
                <w:rFonts w:ascii="Arial" w:cs="Arial" w:eastAsia="Arial" w:hAnsi="Arial"/>
                <w:sz w:val="16"/>
                <w:szCs w:val="16"/>
                <w:color w:val="auto"/>
              </w:rPr>
              <w:t>70,939</w:t>
            </w:r>
          </w:p>
        </w:tc>
        <w:tc>
          <w:tcPr>
            <w:tcW w:w="1200" w:type="dxa"/>
            <w:vAlign w:val="bottom"/>
            <w:tcBorders>
              <w:bottom w:val="single" w:sz="8" w:color="BFBFBF"/>
            </w:tcBorders>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167,366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8"/>
                <w:szCs w:val="18"/>
                <w:b w:val="1"/>
                <w:bCs w:val="1"/>
                <w:color w:val="0033A0"/>
              </w:rPr>
              <w:t>Lauren Rich Fine</w:t>
            </w:r>
          </w:p>
        </w:tc>
        <w:tc>
          <w:tcPr>
            <w:tcW w:w="3020" w:type="dxa"/>
            <w:vAlign w:val="bottom"/>
            <w:tcBorders>
              <w:bottom w:val="single" w:sz="8" w:color="BFBFBF"/>
            </w:tcBorders>
            <w:shd w:val="clear" w:color="auto" w:fill="E6E6E6"/>
          </w:tcPr>
          <w:p>
            <w:pPr>
              <w:jc w:val="right"/>
              <w:ind w:right="422"/>
              <w:spacing w:after="0"/>
              <w:rPr>
                <w:sz w:val="20"/>
                <w:szCs w:val="20"/>
                <w:color w:val="auto"/>
              </w:rPr>
            </w:pPr>
            <w:r>
              <w:rPr>
                <w:rFonts w:ascii="Arial" w:cs="Arial" w:eastAsia="Arial" w:hAnsi="Arial"/>
                <w:sz w:val="16"/>
                <w:szCs w:val="16"/>
                <w:color w:val="auto"/>
              </w:rPr>
              <w:t>63,939</w:t>
            </w:r>
          </w:p>
        </w:tc>
        <w:tc>
          <w:tcPr>
            <w:tcW w:w="1200" w:type="dxa"/>
            <w:vAlign w:val="bottom"/>
            <w:tcBorders>
              <w:bottom w:val="single" w:sz="8" w:color="BFBFBF"/>
            </w:tcBorders>
            <w:shd w:val="clear" w:color="auto" w:fill="E6E6E6"/>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shd w:val="clear" w:color="auto" w:fill="E6E6E6"/>
          </w:tcPr>
          <w:p>
            <w:pPr>
              <w:jc w:val="right"/>
              <w:ind w:right="40"/>
              <w:spacing w:after="0"/>
              <w:rPr>
                <w:sz w:val="20"/>
                <w:szCs w:val="20"/>
                <w:color w:val="auto"/>
              </w:rPr>
            </w:pPr>
            <w:r>
              <w:rPr>
                <w:rFonts w:ascii="Arial" w:cs="Arial" w:eastAsia="Arial" w:hAnsi="Arial"/>
                <w:sz w:val="16"/>
                <w:szCs w:val="16"/>
                <w:color w:val="auto"/>
              </w:rPr>
              <w:t>160,366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John W. Hayden</w:t>
            </w:r>
          </w:p>
        </w:tc>
        <w:tc>
          <w:tcPr>
            <w:tcW w:w="3020" w:type="dxa"/>
            <w:vAlign w:val="bottom"/>
            <w:tcBorders>
              <w:bottom w:val="single" w:sz="8" w:color="BFBFBF"/>
            </w:tcBorders>
          </w:tcPr>
          <w:p>
            <w:pPr>
              <w:jc w:val="right"/>
              <w:ind w:right="422"/>
              <w:spacing w:after="0"/>
              <w:rPr>
                <w:sz w:val="20"/>
                <w:szCs w:val="20"/>
                <w:color w:val="auto"/>
              </w:rPr>
            </w:pPr>
            <w:r>
              <w:rPr>
                <w:rFonts w:ascii="Arial" w:cs="Arial" w:eastAsia="Arial" w:hAnsi="Arial"/>
                <w:sz w:val="16"/>
                <w:szCs w:val="16"/>
                <w:color w:val="auto"/>
              </w:rPr>
              <w:t>77,939</w:t>
            </w:r>
          </w:p>
        </w:tc>
        <w:tc>
          <w:tcPr>
            <w:tcW w:w="1200" w:type="dxa"/>
            <w:vAlign w:val="bottom"/>
            <w:tcBorders>
              <w:bottom w:val="single" w:sz="8" w:color="BFBFBF"/>
            </w:tcBorders>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174,366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8"/>
                <w:szCs w:val="18"/>
                <w:b w:val="1"/>
                <w:bCs w:val="1"/>
                <w:color w:val="0033A0"/>
              </w:rPr>
              <w:t>Anne M. La Dow</w:t>
            </w:r>
          </w:p>
        </w:tc>
        <w:tc>
          <w:tcPr>
            <w:tcW w:w="3020" w:type="dxa"/>
            <w:vAlign w:val="bottom"/>
            <w:tcBorders>
              <w:bottom w:val="single" w:sz="8" w:color="BFBFBF"/>
            </w:tcBorders>
            <w:shd w:val="clear" w:color="auto" w:fill="E6E6E6"/>
          </w:tcPr>
          <w:p>
            <w:pPr>
              <w:jc w:val="right"/>
              <w:ind w:right="422"/>
              <w:spacing w:after="0"/>
              <w:rPr>
                <w:sz w:val="20"/>
                <w:szCs w:val="20"/>
                <w:color w:val="auto"/>
              </w:rPr>
            </w:pPr>
            <w:r>
              <w:rPr>
                <w:rFonts w:ascii="Arial" w:cs="Arial" w:eastAsia="Arial" w:hAnsi="Arial"/>
                <w:sz w:val="16"/>
                <w:szCs w:val="16"/>
                <w:color w:val="auto"/>
              </w:rPr>
              <w:t>61,939</w:t>
            </w:r>
          </w:p>
        </w:tc>
        <w:tc>
          <w:tcPr>
            <w:tcW w:w="1200" w:type="dxa"/>
            <w:vAlign w:val="bottom"/>
            <w:tcBorders>
              <w:bottom w:val="single" w:sz="8" w:color="BFBFBF"/>
            </w:tcBorders>
            <w:shd w:val="clear" w:color="auto" w:fill="E6E6E6"/>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shd w:val="clear" w:color="auto" w:fill="E6E6E6"/>
          </w:tcPr>
          <w:p>
            <w:pPr>
              <w:jc w:val="right"/>
              <w:ind w:right="40"/>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Wonya Y. Lucas</w:t>
            </w:r>
          </w:p>
        </w:tc>
        <w:tc>
          <w:tcPr>
            <w:tcW w:w="3020" w:type="dxa"/>
            <w:vAlign w:val="bottom"/>
            <w:tcBorders>
              <w:bottom w:val="single" w:sz="8" w:color="BFBFBF"/>
            </w:tcBorders>
          </w:tcPr>
          <w:p>
            <w:pPr>
              <w:jc w:val="right"/>
              <w:ind w:right="422"/>
              <w:spacing w:after="0"/>
              <w:rPr>
                <w:sz w:val="20"/>
                <w:szCs w:val="20"/>
                <w:color w:val="auto"/>
              </w:rPr>
            </w:pPr>
            <w:r>
              <w:rPr>
                <w:rFonts w:ascii="Arial" w:cs="Arial" w:eastAsia="Arial" w:hAnsi="Arial"/>
                <w:sz w:val="16"/>
                <w:szCs w:val="16"/>
                <w:color w:val="auto"/>
              </w:rPr>
              <w:t>61,939</w:t>
            </w:r>
          </w:p>
        </w:tc>
        <w:tc>
          <w:tcPr>
            <w:tcW w:w="1200" w:type="dxa"/>
            <w:vAlign w:val="bottom"/>
            <w:tcBorders>
              <w:bottom w:val="single" w:sz="8" w:color="BFBFBF"/>
            </w:tcBorders>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shd w:val="clear" w:color="auto" w:fill="E6E6E6"/>
          </w:tcPr>
          <w:p>
            <w:pPr>
              <w:ind w:left="140"/>
              <w:spacing w:after="0"/>
              <w:rPr>
                <w:sz w:val="20"/>
                <w:szCs w:val="20"/>
                <w:color w:val="auto"/>
              </w:rPr>
            </w:pPr>
            <w:r>
              <w:rPr>
                <w:rFonts w:ascii="Arial" w:cs="Arial" w:eastAsia="Arial" w:hAnsi="Arial"/>
                <w:sz w:val="18"/>
                <w:szCs w:val="18"/>
                <w:b w:val="1"/>
                <w:bCs w:val="1"/>
                <w:color w:val="0033A0"/>
              </w:rPr>
              <w:t>Roger L. Ogden</w:t>
            </w:r>
            <w:r>
              <w:rPr>
                <w:rFonts w:ascii="Arial" w:cs="Arial" w:eastAsia="Arial" w:hAnsi="Arial"/>
                <w:sz w:val="15"/>
                <w:szCs w:val="15"/>
                <w:b w:val="1"/>
                <w:bCs w:val="1"/>
                <w:color w:val="0033A0"/>
              </w:rPr>
              <w:t>(5)</w:t>
            </w:r>
          </w:p>
        </w:tc>
        <w:tc>
          <w:tcPr>
            <w:tcW w:w="3020" w:type="dxa"/>
            <w:vAlign w:val="bottom"/>
            <w:tcBorders>
              <w:bottom w:val="single" w:sz="8" w:color="BFBFBF"/>
            </w:tcBorders>
            <w:shd w:val="clear" w:color="auto" w:fill="E6E6E6"/>
          </w:tcPr>
          <w:p>
            <w:pPr>
              <w:jc w:val="right"/>
              <w:ind w:right="422"/>
              <w:spacing w:after="0"/>
              <w:rPr>
                <w:sz w:val="20"/>
                <w:szCs w:val="20"/>
                <w:color w:val="auto"/>
              </w:rPr>
            </w:pPr>
            <w:r>
              <w:rPr>
                <w:rFonts w:ascii="Arial" w:cs="Arial" w:eastAsia="Arial" w:hAnsi="Arial"/>
                <w:sz w:val="16"/>
                <w:szCs w:val="16"/>
                <w:color w:val="auto"/>
              </w:rPr>
              <w:t>31,313</w:t>
            </w:r>
          </w:p>
        </w:tc>
        <w:tc>
          <w:tcPr>
            <w:tcW w:w="1200" w:type="dxa"/>
            <w:vAlign w:val="bottom"/>
            <w:tcBorders>
              <w:bottom w:val="single" w:sz="8" w:color="BFBFBF"/>
            </w:tcBorders>
            <w:shd w:val="clear" w:color="auto" w:fill="E6E6E6"/>
          </w:tcPr>
          <w:p>
            <w:pPr>
              <w:jc w:val="right"/>
              <w:ind w:right="201"/>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BFBFBF"/>
            </w:tcBorders>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shd w:val="clear" w:color="auto" w:fill="E6E6E6"/>
          </w:tcPr>
          <w:p>
            <w:pPr>
              <w:jc w:val="right"/>
              <w:ind w:right="40"/>
              <w:spacing w:after="0"/>
              <w:rPr>
                <w:sz w:val="20"/>
                <w:szCs w:val="20"/>
                <w:color w:val="auto"/>
              </w:rPr>
            </w:pPr>
            <w:r>
              <w:rPr>
                <w:rFonts w:ascii="Arial" w:cs="Arial" w:eastAsia="Arial" w:hAnsi="Arial"/>
                <w:sz w:val="16"/>
                <w:szCs w:val="16"/>
                <w:color w:val="auto"/>
              </w:rPr>
              <w:t>31,313</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R. Michael Scagliotti</w:t>
            </w:r>
          </w:p>
        </w:tc>
        <w:tc>
          <w:tcPr>
            <w:tcW w:w="3020" w:type="dxa"/>
            <w:vAlign w:val="bottom"/>
            <w:tcBorders>
              <w:bottom w:val="single" w:sz="8" w:color="BFBFBF"/>
            </w:tcBorders>
          </w:tcPr>
          <w:p>
            <w:pPr>
              <w:jc w:val="right"/>
              <w:ind w:right="422"/>
              <w:spacing w:after="0"/>
              <w:rPr>
                <w:sz w:val="20"/>
                <w:szCs w:val="20"/>
                <w:color w:val="auto"/>
              </w:rPr>
            </w:pPr>
            <w:r>
              <w:rPr>
                <w:rFonts w:ascii="Arial" w:cs="Arial" w:eastAsia="Arial" w:hAnsi="Arial"/>
                <w:sz w:val="16"/>
                <w:szCs w:val="16"/>
                <w:color w:val="auto"/>
              </w:rPr>
              <w:t>61,939</w:t>
            </w:r>
          </w:p>
        </w:tc>
        <w:tc>
          <w:tcPr>
            <w:tcW w:w="1200" w:type="dxa"/>
            <w:vAlign w:val="bottom"/>
            <w:tcBorders>
              <w:bottom w:val="single" w:sz="8" w:color="BFBFBF"/>
            </w:tcBorders>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tcBorders>
              <w:bottom w:val="single" w:sz="8" w:color="BFBFBF"/>
            </w:tcBorders>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BFBF"/>
            </w:tcBorders>
          </w:tcPr>
          <w:p>
            <w:pPr>
              <w:jc w:val="right"/>
              <w:ind w:right="40"/>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223"/>
        </w:trPr>
        <w:tc>
          <w:tcPr>
            <w:tcW w:w="418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0033A0"/>
              </w:rPr>
              <w:t>Kim Williams</w:t>
            </w:r>
          </w:p>
        </w:tc>
        <w:tc>
          <w:tcPr>
            <w:tcW w:w="3020" w:type="dxa"/>
            <w:vAlign w:val="bottom"/>
            <w:shd w:val="clear" w:color="auto" w:fill="E6E6E6"/>
          </w:tcPr>
          <w:p>
            <w:pPr>
              <w:jc w:val="right"/>
              <w:ind w:right="422"/>
              <w:spacing w:after="0"/>
              <w:rPr>
                <w:sz w:val="20"/>
                <w:szCs w:val="20"/>
                <w:color w:val="auto"/>
              </w:rPr>
            </w:pPr>
            <w:r>
              <w:rPr>
                <w:rFonts w:ascii="Arial" w:cs="Arial" w:eastAsia="Arial" w:hAnsi="Arial"/>
                <w:sz w:val="16"/>
                <w:szCs w:val="16"/>
                <w:color w:val="auto"/>
              </w:rPr>
              <w:t>111,939</w:t>
            </w:r>
          </w:p>
        </w:tc>
        <w:tc>
          <w:tcPr>
            <w:tcW w:w="1200" w:type="dxa"/>
            <w:vAlign w:val="bottom"/>
            <w:shd w:val="clear" w:color="auto" w:fill="E6E6E6"/>
          </w:tcPr>
          <w:p>
            <w:pPr>
              <w:jc w:val="right"/>
              <w:ind w:right="201"/>
              <w:spacing w:after="0"/>
              <w:rPr>
                <w:sz w:val="20"/>
                <w:szCs w:val="20"/>
                <w:color w:val="auto"/>
              </w:rPr>
            </w:pPr>
            <w:r>
              <w:rPr>
                <w:rFonts w:ascii="Arial" w:cs="Arial" w:eastAsia="Arial" w:hAnsi="Arial"/>
                <w:sz w:val="16"/>
                <w:szCs w:val="16"/>
                <w:color w:val="auto"/>
              </w:rPr>
              <w:t>96,427</w:t>
            </w:r>
          </w:p>
        </w:tc>
        <w:tc>
          <w:tcPr>
            <w:tcW w:w="1820" w:type="dxa"/>
            <w:vAlign w:val="bottom"/>
            <w:shd w:val="clear" w:color="auto" w:fill="E6E6E6"/>
          </w:tcPr>
          <w:p>
            <w:pPr>
              <w:jc w:val="right"/>
              <w:ind w:right="282"/>
              <w:spacing w:after="0"/>
              <w:rPr>
                <w:sz w:val="20"/>
                <w:szCs w:val="20"/>
                <w:color w:val="auto"/>
              </w:rPr>
            </w:pPr>
            <w:r>
              <w:rPr>
                <w:rFonts w:ascii="Arial" w:cs="Arial" w:eastAsia="Arial" w:hAnsi="Arial"/>
                <w:sz w:val="16"/>
                <w:szCs w:val="16"/>
                <w:color w:val="auto"/>
              </w:rPr>
              <w:t>433</w:t>
            </w:r>
          </w:p>
        </w:tc>
        <w:tc>
          <w:tcPr>
            <w:tcW w:w="1040" w:type="dxa"/>
            <w:vAlign w:val="bottom"/>
            <w:shd w:val="clear" w:color="auto" w:fill="E6E6E6"/>
          </w:tcPr>
          <w:p>
            <w:pPr>
              <w:jc w:val="right"/>
              <w:ind w:right="40"/>
              <w:spacing w:after="0"/>
              <w:rPr>
                <w:sz w:val="20"/>
                <w:szCs w:val="20"/>
                <w:color w:val="auto"/>
              </w:rPr>
            </w:pPr>
            <w:r>
              <w:rPr>
                <w:rFonts w:ascii="Arial" w:cs="Arial" w:eastAsia="Arial" w:hAnsi="Arial"/>
                <w:sz w:val="16"/>
                <w:szCs w:val="16"/>
                <w:color w:val="auto"/>
              </w:rPr>
              <w:t>208,799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right="20" w:hanging="252"/>
        <w:spacing w:after="0" w:line="253"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directors voluntarily accepted a 15% reduction in their annual cash retainer effective April 1, 2020. In addition, Mr. Boehne waived the annual fee payable to him as the Chairman of the Board effective April 1, 2020.</w:t>
      </w:r>
    </w:p>
    <w:p>
      <w:pPr>
        <w:spacing w:after="0" w:line="106" w:lineRule="exact"/>
        <w:rPr>
          <w:rFonts w:ascii="Arial" w:cs="Arial" w:eastAsia="Arial" w:hAnsi="Arial"/>
          <w:sz w:val="14"/>
          <w:szCs w:val="14"/>
          <w:color w:val="auto"/>
        </w:rPr>
      </w:pPr>
    </w:p>
    <w:p>
      <w:pPr>
        <w:ind w:left="260" w:right="40" w:hanging="252"/>
        <w:spacing w:after="0" w:line="253"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restricted share unit awards granted in 2020, as determined in accordance with FASB ASC Topic 718. See footnote 18 of our 2020 Annual Report for the assumptions used in the valuation of these awards.</w:t>
      </w:r>
    </w:p>
    <w:p>
      <w:pPr>
        <w:spacing w:after="0" w:line="65" w:lineRule="exact"/>
        <w:rPr>
          <w:rFonts w:ascii="Arial" w:cs="Arial" w:eastAsia="Arial" w:hAnsi="Arial"/>
          <w:sz w:val="14"/>
          <w:szCs w:val="14"/>
          <w:color w:val="auto"/>
        </w:rPr>
      </w:pPr>
    </w:p>
    <w:p>
      <w:pPr>
        <w:ind w:left="260" w:right="20" w:hanging="252"/>
        <w:spacing w:after="0" w:line="253"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above market earnings to the fixed income account within the 1997 Deferred Compensation and Stock Plan for Directors. Only Ms. Williams has a fixed income account. The interest rate Ms. Williams received was 3.23% in 2020.</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Boehne retires from the Board effective May 3, 2021.</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Ogden retired from the Board effective May 4,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outstanding restricted share unit awards held by each non-employee director as of December 31,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shd w:val="clear" w:color="auto" w:fill="E7E7E8"/>
          </w:tcPr>
          <w:p>
            <w:pPr>
              <w:spacing w:after="0"/>
              <w:rPr>
                <w:sz w:val="14"/>
                <w:szCs w:val="14"/>
                <w:color w:val="auto"/>
              </w:rPr>
            </w:pPr>
          </w:p>
        </w:tc>
        <w:tc>
          <w:tcPr>
            <w:tcW w:w="5800" w:type="dxa"/>
            <w:vAlign w:val="bottom"/>
            <w:shd w:val="clear" w:color="auto" w:fill="E7E7E8"/>
          </w:tcPr>
          <w:p>
            <w:pPr>
              <w:jc w:val="center"/>
              <w:ind w:left="3661"/>
              <w:spacing w:after="0"/>
              <w:rPr>
                <w:sz w:val="20"/>
                <w:szCs w:val="20"/>
                <w:color w:val="auto"/>
              </w:rPr>
            </w:pPr>
            <w:r>
              <w:rPr>
                <w:rFonts w:ascii="Arial" w:cs="Arial" w:eastAsia="Arial" w:hAnsi="Arial"/>
                <w:sz w:val="14"/>
                <w:szCs w:val="14"/>
                <w:b w:val="1"/>
                <w:bCs w:val="1"/>
                <w:color w:val="0033A0"/>
                <w:w w:val="93"/>
              </w:rPr>
              <w:t>Aggregate Number</w:t>
            </w:r>
          </w:p>
        </w:tc>
        <w:tc>
          <w:tcPr>
            <w:tcW w:w="0" w:type="dxa"/>
            <w:vAlign w:val="bottom"/>
          </w:tcPr>
          <w:p>
            <w:pPr>
              <w:spacing w:after="0"/>
              <w:rPr>
                <w:sz w:val="1"/>
                <w:szCs w:val="1"/>
                <w:color w:val="auto"/>
              </w:rPr>
            </w:pPr>
          </w:p>
        </w:tc>
      </w:tr>
      <w:tr>
        <w:trPr>
          <w:trHeight w:val="149"/>
        </w:trPr>
        <w:tc>
          <w:tcPr>
            <w:tcW w:w="544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5800" w:type="dxa"/>
            <w:vAlign w:val="bottom"/>
            <w:shd w:val="clear" w:color="auto" w:fill="E7E7E8"/>
          </w:tcPr>
          <w:p>
            <w:pPr>
              <w:jc w:val="center"/>
              <w:ind w:left="3661"/>
              <w:spacing w:after="0" w:line="149" w:lineRule="exact"/>
              <w:rPr>
                <w:sz w:val="20"/>
                <w:szCs w:val="20"/>
                <w:color w:val="auto"/>
              </w:rPr>
            </w:pPr>
            <w:r>
              <w:rPr>
                <w:rFonts w:ascii="Arial" w:cs="Arial" w:eastAsia="Arial" w:hAnsi="Arial"/>
                <w:sz w:val="14"/>
                <w:szCs w:val="14"/>
                <w:b w:val="1"/>
                <w:bCs w:val="1"/>
                <w:color w:val="0033A0"/>
                <w:w w:val="91"/>
              </w:rPr>
              <w:t>of Restricted Share</w:t>
            </w:r>
          </w:p>
        </w:tc>
        <w:tc>
          <w:tcPr>
            <w:tcW w:w="0" w:type="dxa"/>
            <w:vAlign w:val="bottom"/>
          </w:tcPr>
          <w:p>
            <w:pPr>
              <w:spacing w:after="0"/>
              <w:rPr>
                <w:sz w:val="1"/>
                <w:szCs w:val="1"/>
                <w:color w:val="auto"/>
              </w:rPr>
            </w:pPr>
          </w:p>
        </w:tc>
      </w:tr>
      <w:tr>
        <w:trPr>
          <w:trHeight w:val="178"/>
        </w:trPr>
        <w:tc>
          <w:tcPr>
            <w:tcW w:w="5440" w:type="dxa"/>
            <w:vAlign w:val="bottom"/>
            <w:tcBorders>
              <w:bottom w:val="single" w:sz="8" w:color="BFBFBF"/>
            </w:tcBorders>
            <w:vMerge w:val="continue"/>
            <w:shd w:val="clear" w:color="auto" w:fill="E7E7E8"/>
          </w:tcPr>
          <w:p>
            <w:pPr>
              <w:spacing w:after="0"/>
              <w:rPr>
                <w:sz w:val="15"/>
                <w:szCs w:val="15"/>
                <w:color w:val="auto"/>
              </w:rPr>
            </w:pPr>
          </w:p>
        </w:tc>
        <w:tc>
          <w:tcPr>
            <w:tcW w:w="5800" w:type="dxa"/>
            <w:vAlign w:val="bottom"/>
            <w:tcBorders>
              <w:bottom w:val="single" w:sz="8" w:color="BFBFBF"/>
            </w:tcBorders>
            <w:shd w:val="clear" w:color="auto" w:fill="E7E7E8"/>
          </w:tcPr>
          <w:p>
            <w:pPr>
              <w:jc w:val="center"/>
              <w:ind w:left="3661"/>
              <w:spacing w:after="0"/>
              <w:rPr>
                <w:sz w:val="20"/>
                <w:szCs w:val="20"/>
                <w:color w:val="auto"/>
              </w:rPr>
            </w:pPr>
            <w:r>
              <w:rPr>
                <w:rFonts w:ascii="Arial" w:cs="Arial" w:eastAsia="Arial" w:hAnsi="Arial"/>
                <w:sz w:val="14"/>
                <w:szCs w:val="14"/>
                <w:b w:val="1"/>
                <w:bCs w:val="1"/>
                <w:color w:val="0033A0"/>
                <w:w w:val="95"/>
              </w:rPr>
              <w:t>Unit Awards (#)</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0033A0"/>
              </w:rPr>
              <w:t>Mr. Alexander</w:t>
            </w:r>
          </w:p>
        </w:tc>
        <w:tc>
          <w:tcPr>
            <w:tcW w:w="5800" w:type="dxa"/>
            <w:vAlign w:val="bottom"/>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shd w:val="clear" w:color="auto" w:fill="F3F3F4"/>
          </w:tcPr>
          <w:p>
            <w:pPr>
              <w:ind w:left="140"/>
              <w:spacing w:after="0"/>
              <w:rPr>
                <w:sz w:val="20"/>
                <w:szCs w:val="20"/>
                <w:color w:val="auto"/>
              </w:rPr>
            </w:pPr>
            <w:r>
              <w:rPr>
                <w:rFonts w:ascii="Arial" w:cs="Arial" w:eastAsia="Arial" w:hAnsi="Arial"/>
                <w:sz w:val="18"/>
                <w:szCs w:val="18"/>
                <w:b w:val="1"/>
                <w:bCs w:val="1"/>
                <w:color w:val="0033A0"/>
              </w:rPr>
              <w:t>Mr. Barmonde</w:t>
            </w:r>
          </w:p>
        </w:tc>
        <w:tc>
          <w:tcPr>
            <w:tcW w:w="5800" w:type="dxa"/>
            <w:vAlign w:val="bottom"/>
            <w:shd w:val="clear" w:color="auto" w:fill="F3F3F4"/>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b w:val="1"/>
                <w:bCs w:val="1"/>
                <w:color w:val="0033A0"/>
              </w:rPr>
              <w:t>Mr. Boehne</w:t>
            </w:r>
          </w:p>
        </w:tc>
        <w:tc>
          <w:tcPr>
            <w:tcW w:w="5800" w:type="dxa"/>
            <w:vAlign w:val="bottom"/>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shd w:val="clear" w:color="auto" w:fill="F3F3F4"/>
          </w:tcPr>
          <w:p>
            <w:pPr>
              <w:ind w:left="140"/>
              <w:spacing w:after="0"/>
              <w:rPr>
                <w:sz w:val="20"/>
                <w:szCs w:val="20"/>
                <w:color w:val="auto"/>
              </w:rPr>
            </w:pPr>
            <w:r>
              <w:rPr>
                <w:rFonts w:ascii="Arial" w:cs="Arial" w:eastAsia="Arial" w:hAnsi="Arial"/>
                <w:sz w:val="18"/>
                <w:szCs w:val="18"/>
                <w:b w:val="1"/>
                <w:bCs w:val="1"/>
                <w:color w:val="0033A0"/>
              </w:rPr>
              <w:t>Mr. Conlin</w:t>
            </w:r>
          </w:p>
        </w:tc>
        <w:tc>
          <w:tcPr>
            <w:tcW w:w="5800" w:type="dxa"/>
            <w:vAlign w:val="bottom"/>
            <w:shd w:val="clear" w:color="auto" w:fill="F3F3F4"/>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0033A0"/>
              </w:rPr>
              <w:t>Ms. Fine</w:t>
            </w:r>
          </w:p>
        </w:tc>
        <w:tc>
          <w:tcPr>
            <w:tcW w:w="5800" w:type="dxa"/>
            <w:vAlign w:val="bottom"/>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shd w:val="clear" w:color="auto" w:fill="F3F3F4"/>
          </w:tcPr>
          <w:p>
            <w:pPr>
              <w:ind w:left="140"/>
              <w:spacing w:after="0"/>
              <w:rPr>
                <w:sz w:val="20"/>
                <w:szCs w:val="20"/>
                <w:color w:val="auto"/>
              </w:rPr>
            </w:pPr>
            <w:r>
              <w:rPr>
                <w:rFonts w:ascii="Arial" w:cs="Arial" w:eastAsia="Arial" w:hAnsi="Arial"/>
                <w:sz w:val="18"/>
                <w:szCs w:val="18"/>
                <w:b w:val="1"/>
                <w:bCs w:val="1"/>
                <w:color w:val="0033A0"/>
              </w:rPr>
              <w:t>Mr. Hayden</w:t>
            </w:r>
          </w:p>
        </w:tc>
        <w:tc>
          <w:tcPr>
            <w:tcW w:w="5800" w:type="dxa"/>
            <w:vAlign w:val="bottom"/>
            <w:shd w:val="clear" w:color="auto" w:fill="F3F3F4"/>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b w:val="1"/>
                <w:bCs w:val="1"/>
                <w:color w:val="0033A0"/>
              </w:rPr>
              <w:t>Ms. La Dow</w:t>
            </w:r>
          </w:p>
        </w:tc>
        <w:tc>
          <w:tcPr>
            <w:tcW w:w="5800" w:type="dxa"/>
            <w:vAlign w:val="bottom"/>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shd w:val="clear" w:color="auto" w:fill="F3F3F4"/>
          </w:tcPr>
          <w:p>
            <w:pPr>
              <w:ind w:left="140"/>
              <w:spacing w:after="0"/>
              <w:rPr>
                <w:sz w:val="20"/>
                <w:szCs w:val="20"/>
                <w:color w:val="auto"/>
              </w:rPr>
            </w:pPr>
            <w:r>
              <w:rPr>
                <w:rFonts w:ascii="Arial" w:cs="Arial" w:eastAsia="Arial" w:hAnsi="Arial"/>
                <w:sz w:val="18"/>
                <w:szCs w:val="18"/>
                <w:b w:val="1"/>
                <w:bCs w:val="1"/>
                <w:color w:val="0033A0"/>
              </w:rPr>
              <w:t>Ms. Lucas</w:t>
            </w:r>
          </w:p>
        </w:tc>
        <w:tc>
          <w:tcPr>
            <w:tcW w:w="5800" w:type="dxa"/>
            <w:vAlign w:val="bottom"/>
            <w:shd w:val="clear" w:color="auto" w:fill="F3F3F4"/>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0033A0"/>
              </w:rPr>
              <w:t>Mr. Scagliotti</w:t>
            </w:r>
          </w:p>
        </w:tc>
        <w:tc>
          <w:tcPr>
            <w:tcW w:w="5800" w:type="dxa"/>
            <w:vAlign w:val="bottom"/>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r>
        <w:trPr>
          <w:trHeight w:val="230"/>
        </w:trPr>
        <w:tc>
          <w:tcPr>
            <w:tcW w:w="5440" w:type="dxa"/>
            <w:vAlign w:val="bottom"/>
            <w:shd w:val="clear" w:color="auto" w:fill="F3F3F4"/>
          </w:tcPr>
          <w:p>
            <w:pPr>
              <w:ind w:left="140"/>
              <w:spacing w:after="0"/>
              <w:rPr>
                <w:sz w:val="20"/>
                <w:szCs w:val="20"/>
                <w:color w:val="auto"/>
              </w:rPr>
            </w:pPr>
            <w:r>
              <w:rPr>
                <w:rFonts w:ascii="Arial" w:cs="Arial" w:eastAsia="Arial" w:hAnsi="Arial"/>
                <w:sz w:val="18"/>
                <w:szCs w:val="18"/>
                <w:b w:val="1"/>
                <w:bCs w:val="1"/>
                <w:color w:val="0033A0"/>
              </w:rPr>
              <w:t>Ms. Williams</w:t>
            </w:r>
          </w:p>
        </w:tc>
        <w:tc>
          <w:tcPr>
            <w:tcW w:w="5800" w:type="dxa"/>
            <w:vAlign w:val="bottom"/>
            <w:shd w:val="clear" w:color="auto" w:fill="F3F3F4"/>
          </w:tcPr>
          <w:p>
            <w:pPr>
              <w:jc w:val="right"/>
              <w:ind w:right="501"/>
              <w:spacing w:after="0"/>
              <w:rPr>
                <w:sz w:val="20"/>
                <w:szCs w:val="20"/>
                <w:color w:val="auto"/>
              </w:rPr>
            </w:pPr>
            <w:r>
              <w:rPr>
                <w:rFonts w:ascii="Arial" w:cs="Arial" w:eastAsia="Arial" w:hAnsi="Arial"/>
                <w:sz w:val="16"/>
                <w:szCs w:val="16"/>
                <w:color w:val="auto"/>
              </w:rPr>
              <w:t>12,978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Description of Director Compensation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director compensation program is designed to enhance its ability to attract and retain highly qualified directors and to align their interests with the long-term interests of its shareholders. The program includes a cash component, which is designed to compensate non-employee directors for their service on the Board and an equity component, which is designed to align the interests of non-employee directors and shareholders. The Company also provides certain other benefits to non-employee directors, which are described below. Directors who are employees of the Company receive no additional compensation for their service on the Board.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annually reviews compensation paid to our non-employee directors and makes recommendations for adjustments, as appropriate, to the full Board. As part of this annual review, the Committee considers the significant time commitment and skill level required by each non-employee director in serving on the Board and its various committees. The Committee seeks to maintain a market competitive director compensation program and, with the assistance of its independent compensation consultant, benchmarks our director compensation program against the peer group we use to evaluate our executive compensation program.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non-employee director is entitled to receive an annual cash retainer of $45,000. Committee chairs also receive an annual retainer as described in the table below. The retainers are paid in equal quarterly installments. Each non-employee director is also entitled to receive a fee for each Board meeting and committee meeting attended,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4D4D4D"/>
        </w:rPr>
        <w:t>Meeting Fees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Borders>
              <w:bottom w:val="single" w:sz="8" w:color="BFBFBF"/>
            </w:tcBorders>
            <w:gridSpan w:val="3"/>
            <w:shd w:val="clear" w:color="auto" w:fill="F3F3F4"/>
          </w:tcPr>
          <w:p>
            <w:pPr>
              <w:ind w:left="140"/>
              <w:spacing w:after="0"/>
              <w:rPr>
                <w:sz w:val="20"/>
                <w:szCs w:val="20"/>
                <w:color w:val="auto"/>
              </w:rPr>
            </w:pPr>
            <w:r>
              <w:rPr>
                <w:rFonts w:ascii="Arial" w:cs="Arial" w:eastAsia="Arial" w:hAnsi="Arial"/>
                <w:sz w:val="18"/>
                <w:szCs w:val="18"/>
                <w:color w:val="auto"/>
              </w:rPr>
              <w:t>Board</w:t>
            </w:r>
          </w:p>
        </w:tc>
        <w:tc>
          <w:tcPr>
            <w:tcW w:w="2160" w:type="dxa"/>
            <w:vAlign w:val="bottom"/>
            <w:tcBorders>
              <w:bottom w:val="single" w:sz="8" w:color="BFBFBF"/>
            </w:tcBorders>
            <w:shd w:val="clear" w:color="auto" w:fill="F3F3F4"/>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3F3F4"/>
          </w:tcPr>
          <w:p>
            <w:pPr>
              <w:jc w:val="right"/>
              <w:ind w:right="39"/>
              <w:spacing w:after="0"/>
              <w:rPr>
                <w:sz w:val="20"/>
                <w:szCs w:val="20"/>
                <w:color w:val="auto"/>
              </w:rPr>
            </w:pPr>
            <w:r>
              <w:rPr>
                <w:rFonts w:ascii="Arial" w:cs="Arial" w:eastAsia="Arial" w:hAnsi="Arial"/>
                <w:sz w:val="16"/>
                <w:szCs w:val="16"/>
                <w:color w:val="auto"/>
              </w:rPr>
              <w:t>2,500</w:t>
            </w:r>
          </w:p>
        </w:tc>
      </w:tr>
      <w:tr>
        <w:trPr>
          <w:trHeight w:val="223"/>
        </w:trPr>
        <w:tc>
          <w:tcPr>
            <w:tcW w:w="7800" w:type="dxa"/>
            <w:vAlign w:val="bottom"/>
            <w:tcBorders>
              <w:bottom w:val="single" w:sz="8" w:color="BFBFBF"/>
            </w:tcBorders>
            <w:gridSpan w:val="3"/>
          </w:tcPr>
          <w:p>
            <w:pPr>
              <w:ind w:left="140"/>
              <w:spacing w:after="0"/>
              <w:rPr>
                <w:sz w:val="20"/>
                <w:szCs w:val="20"/>
                <w:color w:val="auto"/>
              </w:rPr>
            </w:pPr>
            <w:r>
              <w:rPr>
                <w:rFonts w:ascii="Arial" w:cs="Arial" w:eastAsia="Arial" w:hAnsi="Arial"/>
                <w:sz w:val="18"/>
                <w:szCs w:val="18"/>
                <w:color w:val="auto"/>
              </w:rPr>
              <w:t>Executive, Compensation and Nominating &amp; Governance Committees</w:t>
            </w:r>
          </w:p>
        </w:tc>
        <w:tc>
          <w:tcPr>
            <w:tcW w:w="2160" w:type="dxa"/>
            <w:vAlign w:val="bottom"/>
            <w:tcBorders>
              <w:bottom w:val="single" w:sz="8" w:color="BFBFBF"/>
            </w:tcBorders>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tcPr>
          <w:p>
            <w:pPr>
              <w:jc w:val="right"/>
              <w:ind w:right="39"/>
              <w:spacing w:after="0"/>
              <w:rPr>
                <w:sz w:val="20"/>
                <w:szCs w:val="20"/>
                <w:color w:val="auto"/>
              </w:rPr>
            </w:pPr>
            <w:r>
              <w:rPr>
                <w:rFonts w:ascii="Arial" w:cs="Arial" w:eastAsia="Arial" w:hAnsi="Arial"/>
                <w:sz w:val="16"/>
                <w:szCs w:val="16"/>
                <w:color w:val="auto"/>
              </w:rPr>
              <w:t>2,000</w:t>
            </w:r>
          </w:p>
        </w:tc>
      </w:tr>
      <w:tr>
        <w:trPr>
          <w:trHeight w:val="223"/>
        </w:trPr>
        <w:tc>
          <w:tcPr>
            <w:tcW w:w="7800" w:type="dxa"/>
            <w:vAlign w:val="bottom"/>
            <w:tcBorders>
              <w:bottom w:val="single" w:sz="8" w:color="BFBFBF"/>
            </w:tcBorders>
            <w:gridSpan w:val="3"/>
            <w:shd w:val="clear" w:color="auto" w:fill="F3F3F4"/>
          </w:tcPr>
          <w:p>
            <w:pPr>
              <w:ind w:left="140"/>
              <w:spacing w:after="0"/>
              <w:rPr>
                <w:sz w:val="20"/>
                <w:szCs w:val="20"/>
                <w:color w:val="auto"/>
              </w:rPr>
            </w:pPr>
            <w:r>
              <w:rPr>
                <w:rFonts w:ascii="Arial" w:cs="Arial" w:eastAsia="Arial" w:hAnsi="Arial"/>
                <w:sz w:val="18"/>
                <w:szCs w:val="18"/>
                <w:color w:val="auto"/>
              </w:rPr>
              <w:t>Audit Committee</w:t>
            </w:r>
          </w:p>
        </w:tc>
        <w:tc>
          <w:tcPr>
            <w:tcW w:w="2160" w:type="dxa"/>
            <w:vAlign w:val="bottom"/>
            <w:tcBorders>
              <w:bottom w:val="single" w:sz="8" w:color="BFBFBF"/>
            </w:tcBorders>
            <w:shd w:val="clear" w:color="auto" w:fill="F3F3F4"/>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3F3F4"/>
          </w:tcPr>
          <w:p>
            <w:pPr>
              <w:jc w:val="right"/>
              <w:ind w:right="39"/>
              <w:spacing w:after="0"/>
              <w:rPr>
                <w:sz w:val="20"/>
                <w:szCs w:val="20"/>
                <w:color w:val="auto"/>
              </w:rPr>
            </w:pPr>
            <w:r>
              <w:rPr>
                <w:rFonts w:ascii="Arial" w:cs="Arial" w:eastAsia="Arial" w:hAnsi="Arial"/>
                <w:sz w:val="16"/>
                <w:szCs w:val="16"/>
                <w:color w:val="auto"/>
              </w:rPr>
              <w:t>2,500</w:t>
            </w:r>
          </w:p>
        </w:tc>
      </w:tr>
      <w:tr>
        <w:trPr>
          <w:trHeight w:val="224"/>
        </w:trPr>
        <w:tc>
          <w:tcPr>
            <w:tcW w:w="7800" w:type="dxa"/>
            <w:vAlign w:val="bottom"/>
            <w:gridSpan w:val="3"/>
          </w:tcPr>
          <w:p>
            <w:pPr>
              <w:ind w:left="140"/>
              <w:spacing w:after="0"/>
              <w:rPr>
                <w:sz w:val="20"/>
                <w:szCs w:val="20"/>
                <w:color w:val="auto"/>
              </w:rPr>
            </w:pPr>
            <w:r>
              <w:rPr>
                <w:rFonts w:ascii="Arial" w:cs="Arial" w:eastAsia="Arial" w:hAnsi="Arial"/>
                <w:sz w:val="18"/>
                <w:szCs w:val="18"/>
                <w:color w:val="auto"/>
              </w:rPr>
              <w:t>Telephonic meeting fees</w:t>
            </w:r>
          </w:p>
        </w:tc>
        <w:tc>
          <w:tcPr>
            <w:tcW w:w="21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1,000</w:t>
            </w:r>
          </w:p>
        </w:tc>
      </w:tr>
      <w:tr>
        <w:trPr>
          <w:trHeight w:val="418"/>
        </w:trPr>
        <w:tc>
          <w:tcPr>
            <w:tcW w:w="7800" w:type="dxa"/>
            <w:vAlign w:val="bottom"/>
            <w:gridSpan w:val="3"/>
          </w:tcPr>
          <w:p>
            <w:pPr>
              <w:ind w:left="4900"/>
              <w:spacing w:after="0"/>
              <w:rPr>
                <w:sz w:val="20"/>
                <w:szCs w:val="20"/>
                <w:color w:val="auto"/>
              </w:rPr>
            </w:pPr>
            <w:r>
              <w:rPr>
                <w:rFonts w:ascii="Arial" w:cs="Arial" w:eastAsia="Arial" w:hAnsi="Arial"/>
                <w:sz w:val="18"/>
                <w:szCs w:val="18"/>
                <w:b w:val="1"/>
                <w:bCs w:val="1"/>
                <w:color w:val="4D4D4D"/>
              </w:rPr>
              <w:t>Annual Chair Fees</w:t>
            </w: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3"/>
        </w:trPr>
        <w:tc>
          <w:tcPr>
            <w:tcW w:w="4900" w:type="dxa"/>
            <w:vAlign w:val="bottom"/>
          </w:tcPr>
          <w:p>
            <w:pPr>
              <w:spacing w:after="0"/>
              <w:rPr>
                <w:sz w:val="22"/>
                <w:szCs w:val="22"/>
                <w:color w:val="auto"/>
              </w:rPr>
            </w:pPr>
          </w:p>
        </w:tc>
        <w:tc>
          <w:tcPr>
            <w:tcW w:w="1440" w:type="dxa"/>
            <w:vAlign w:val="bottom"/>
            <w:tcBorders>
              <w:top w:val="single" w:sz="8" w:color="4D4D4D"/>
            </w:tcBorders>
          </w:tcPr>
          <w:p>
            <w:pPr>
              <w:spacing w:after="0"/>
              <w:rPr>
                <w:sz w:val="22"/>
                <w:szCs w:val="22"/>
                <w:color w:val="auto"/>
              </w:rPr>
            </w:pPr>
          </w:p>
        </w:tc>
        <w:tc>
          <w:tcPr>
            <w:tcW w:w="1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7800" w:type="dxa"/>
            <w:vAlign w:val="bottom"/>
            <w:tcBorders>
              <w:bottom w:val="single" w:sz="8" w:color="BFBFBF"/>
            </w:tcBorders>
            <w:gridSpan w:val="3"/>
            <w:shd w:val="clear" w:color="auto" w:fill="F3F3F4"/>
          </w:tcPr>
          <w:p>
            <w:pPr>
              <w:ind w:left="140"/>
              <w:spacing w:after="0"/>
              <w:rPr>
                <w:sz w:val="20"/>
                <w:szCs w:val="20"/>
                <w:color w:val="auto"/>
              </w:rPr>
            </w:pPr>
            <w:r>
              <w:rPr>
                <w:rFonts w:ascii="Arial" w:cs="Arial" w:eastAsia="Arial" w:hAnsi="Arial"/>
                <w:sz w:val="18"/>
                <w:szCs w:val="18"/>
                <w:color w:val="auto"/>
              </w:rPr>
              <w:t>Chairman</w:t>
            </w:r>
          </w:p>
        </w:tc>
        <w:tc>
          <w:tcPr>
            <w:tcW w:w="2160" w:type="dxa"/>
            <w:vAlign w:val="bottom"/>
            <w:tcBorders>
              <w:bottom w:val="single" w:sz="8" w:color="BFBFBF"/>
            </w:tcBorders>
            <w:shd w:val="clear" w:color="auto" w:fill="F3F3F4"/>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3F3F4"/>
          </w:tcPr>
          <w:p>
            <w:pPr>
              <w:jc w:val="right"/>
              <w:ind w:right="39"/>
              <w:spacing w:after="0"/>
              <w:rPr>
                <w:sz w:val="20"/>
                <w:szCs w:val="20"/>
                <w:color w:val="auto"/>
              </w:rPr>
            </w:pPr>
            <w:r>
              <w:rPr>
                <w:rFonts w:ascii="Arial" w:cs="Arial" w:eastAsia="Arial" w:hAnsi="Arial"/>
                <w:sz w:val="16"/>
                <w:szCs w:val="16"/>
                <w:color w:val="auto"/>
              </w:rPr>
              <w:t>120,000</w:t>
            </w:r>
          </w:p>
        </w:tc>
      </w:tr>
      <w:tr>
        <w:trPr>
          <w:trHeight w:val="223"/>
        </w:trPr>
        <w:tc>
          <w:tcPr>
            <w:tcW w:w="7800" w:type="dxa"/>
            <w:vAlign w:val="bottom"/>
            <w:tcBorders>
              <w:bottom w:val="single" w:sz="8" w:color="BFBFBF"/>
            </w:tcBorders>
            <w:gridSpan w:val="3"/>
          </w:tcPr>
          <w:p>
            <w:pPr>
              <w:ind w:left="140"/>
              <w:spacing w:after="0"/>
              <w:rPr>
                <w:sz w:val="20"/>
                <w:szCs w:val="20"/>
                <w:color w:val="auto"/>
              </w:rPr>
            </w:pPr>
            <w:r>
              <w:rPr>
                <w:rFonts w:ascii="Arial" w:cs="Arial" w:eastAsia="Arial" w:hAnsi="Arial"/>
                <w:sz w:val="18"/>
                <w:szCs w:val="18"/>
                <w:color w:val="auto"/>
              </w:rPr>
              <w:t>Lead Director</w:t>
            </w:r>
          </w:p>
        </w:tc>
        <w:tc>
          <w:tcPr>
            <w:tcW w:w="2160" w:type="dxa"/>
            <w:vAlign w:val="bottom"/>
            <w:tcBorders>
              <w:bottom w:val="single" w:sz="8" w:color="BFBFBF"/>
            </w:tcBorders>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tcPr>
          <w:p>
            <w:pPr>
              <w:jc w:val="right"/>
              <w:ind w:right="39"/>
              <w:spacing w:after="0"/>
              <w:rPr>
                <w:sz w:val="20"/>
                <w:szCs w:val="20"/>
                <w:color w:val="auto"/>
              </w:rPr>
            </w:pPr>
            <w:r>
              <w:rPr>
                <w:rFonts w:ascii="Arial" w:cs="Arial" w:eastAsia="Arial" w:hAnsi="Arial"/>
                <w:sz w:val="16"/>
                <w:szCs w:val="16"/>
                <w:color w:val="auto"/>
              </w:rPr>
              <w:t>25,000</w:t>
            </w:r>
          </w:p>
        </w:tc>
      </w:tr>
      <w:tr>
        <w:trPr>
          <w:trHeight w:val="223"/>
        </w:trPr>
        <w:tc>
          <w:tcPr>
            <w:tcW w:w="7800" w:type="dxa"/>
            <w:vAlign w:val="bottom"/>
            <w:tcBorders>
              <w:bottom w:val="single" w:sz="8" w:color="BFBFBF"/>
            </w:tcBorders>
            <w:gridSpan w:val="3"/>
            <w:shd w:val="clear" w:color="auto" w:fill="F3F3F4"/>
          </w:tcPr>
          <w:p>
            <w:pPr>
              <w:ind w:left="140"/>
              <w:spacing w:after="0"/>
              <w:rPr>
                <w:sz w:val="20"/>
                <w:szCs w:val="20"/>
                <w:color w:val="auto"/>
              </w:rPr>
            </w:pPr>
            <w:r>
              <w:rPr>
                <w:rFonts w:ascii="Arial" w:cs="Arial" w:eastAsia="Arial" w:hAnsi="Arial"/>
                <w:sz w:val="18"/>
                <w:szCs w:val="18"/>
                <w:color w:val="auto"/>
              </w:rPr>
              <w:t>Executive Committee</w:t>
            </w:r>
          </w:p>
        </w:tc>
        <w:tc>
          <w:tcPr>
            <w:tcW w:w="2160" w:type="dxa"/>
            <w:vAlign w:val="bottom"/>
            <w:tcBorders>
              <w:bottom w:val="single" w:sz="8" w:color="BFBFBF"/>
            </w:tcBorders>
            <w:shd w:val="clear" w:color="auto" w:fill="F3F3F4"/>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3F3F4"/>
          </w:tcPr>
          <w:p>
            <w:pPr>
              <w:jc w:val="right"/>
              <w:ind w:right="39"/>
              <w:spacing w:after="0"/>
              <w:rPr>
                <w:sz w:val="20"/>
                <w:szCs w:val="20"/>
                <w:color w:val="auto"/>
              </w:rPr>
            </w:pPr>
            <w:r>
              <w:rPr>
                <w:rFonts w:ascii="Arial" w:cs="Arial" w:eastAsia="Arial" w:hAnsi="Arial"/>
                <w:sz w:val="16"/>
                <w:szCs w:val="16"/>
                <w:color w:val="auto"/>
              </w:rPr>
              <w:t>3,000</w:t>
            </w:r>
          </w:p>
        </w:tc>
      </w:tr>
      <w:tr>
        <w:trPr>
          <w:trHeight w:val="223"/>
        </w:trPr>
        <w:tc>
          <w:tcPr>
            <w:tcW w:w="7800" w:type="dxa"/>
            <w:vAlign w:val="bottom"/>
            <w:tcBorders>
              <w:bottom w:val="single" w:sz="8" w:color="BFBFBF"/>
            </w:tcBorders>
            <w:gridSpan w:val="3"/>
          </w:tcPr>
          <w:p>
            <w:pPr>
              <w:ind w:left="140"/>
              <w:spacing w:after="0"/>
              <w:rPr>
                <w:sz w:val="20"/>
                <w:szCs w:val="20"/>
                <w:color w:val="auto"/>
              </w:rPr>
            </w:pPr>
            <w:r>
              <w:rPr>
                <w:rFonts w:ascii="Arial" w:cs="Arial" w:eastAsia="Arial" w:hAnsi="Arial"/>
                <w:sz w:val="18"/>
                <w:szCs w:val="18"/>
                <w:color w:val="auto"/>
              </w:rPr>
              <w:t>Audit Committee</w:t>
            </w:r>
          </w:p>
        </w:tc>
        <w:tc>
          <w:tcPr>
            <w:tcW w:w="2160" w:type="dxa"/>
            <w:vAlign w:val="bottom"/>
            <w:tcBorders>
              <w:bottom w:val="single" w:sz="8" w:color="BFBFBF"/>
            </w:tcBorders>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tcPr>
          <w:p>
            <w:pPr>
              <w:jc w:val="right"/>
              <w:ind w:right="39"/>
              <w:spacing w:after="0"/>
              <w:rPr>
                <w:sz w:val="20"/>
                <w:szCs w:val="20"/>
                <w:color w:val="auto"/>
              </w:rPr>
            </w:pPr>
            <w:r>
              <w:rPr>
                <w:rFonts w:ascii="Arial" w:cs="Arial" w:eastAsia="Arial" w:hAnsi="Arial"/>
                <w:sz w:val="16"/>
                <w:szCs w:val="16"/>
                <w:color w:val="auto"/>
              </w:rPr>
              <w:t>15,000</w:t>
            </w:r>
          </w:p>
        </w:tc>
      </w:tr>
      <w:tr>
        <w:trPr>
          <w:trHeight w:val="223"/>
        </w:trPr>
        <w:tc>
          <w:tcPr>
            <w:tcW w:w="7800" w:type="dxa"/>
            <w:vAlign w:val="bottom"/>
            <w:tcBorders>
              <w:bottom w:val="single" w:sz="8" w:color="BFBFBF"/>
            </w:tcBorders>
            <w:gridSpan w:val="3"/>
            <w:shd w:val="clear" w:color="auto" w:fill="F3F3F4"/>
          </w:tcPr>
          <w:p>
            <w:pPr>
              <w:ind w:left="140"/>
              <w:spacing w:after="0"/>
              <w:rPr>
                <w:sz w:val="20"/>
                <w:szCs w:val="20"/>
                <w:color w:val="auto"/>
              </w:rPr>
            </w:pPr>
            <w:r>
              <w:rPr>
                <w:rFonts w:ascii="Arial" w:cs="Arial" w:eastAsia="Arial" w:hAnsi="Arial"/>
                <w:sz w:val="18"/>
                <w:szCs w:val="18"/>
                <w:color w:val="auto"/>
              </w:rPr>
              <w:t>Compensation Committee</w:t>
            </w:r>
          </w:p>
        </w:tc>
        <w:tc>
          <w:tcPr>
            <w:tcW w:w="2160" w:type="dxa"/>
            <w:vAlign w:val="bottom"/>
            <w:tcBorders>
              <w:bottom w:val="single" w:sz="8" w:color="BFBFBF"/>
            </w:tcBorders>
            <w:shd w:val="clear" w:color="auto" w:fill="F3F3F4"/>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BFBF"/>
            </w:tcBorders>
            <w:shd w:val="clear" w:color="auto" w:fill="F3F3F4"/>
          </w:tcPr>
          <w:p>
            <w:pPr>
              <w:jc w:val="right"/>
              <w:ind w:right="39"/>
              <w:spacing w:after="0"/>
              <w:rPr>
                <w:sz w:val="20"/>
                <w:szCs w:val="20"/>
                <w:color w:val="auto"/>
              </w:rPr>
            </w:pPr>
            <w:r>
              <w:rPr>
                <w:rFonts w:ascii="Arial" w:cs="Arial" w:eastAsia="Arial" w:hAnsi="Arial"/>
                <w:sz w:val="16"/>
                <w:szCs w:val="16"/>
                <w:color w:val="auto"/>
              </w:rPr>
              <w:t>12,000</w:t>
            </w:r>
          </w:p>
        </w:tc>
      </w:tr>
      <w:tr>
        <w:trPr>
          <w:trHeight w:val="224"/>
        </w:trPr>
        <w:tc>
          <w:tcPr>
            <w:tcW w:w="7800" w:type="dxa"/>
            <w:vAlign w:val="bottom"/>
            <w:gridSpan w:val="3"/>
          </w:tcPr>
          <w:p>
            <w:pPr>
              <w:ind w:left="140"/>
              <w:spacing w:after="0"/>
              <w:rPr>
                <w:sz w:val="20"/>
                <w:szCs w:val="20"/>
                <w:color w:val="auto"/>
              </w:rPr>
            </w:pPr>
            <w:r>
              <w:rPr>
                <w:rFonts w:ascii="Arial" w:cs="Arial" w:eastAsia="Arial" w:hAnsi="Arial"/>
                <w:sz w:val="18"/>
                <w:szCs w:val="18"/>
                <w:color w:val="auto"/>
              </w:rPr>
              <w:t>Nominating &amp; Governance Committee</w:t>
            </w:r>
          </w:p>
        </w:tc>
        <w:tc>
          <w:tcPr>
            <w:tcW w:w="21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6,000</w:t>
            </w:r>
          </w:p>
        </w:tc>
      </w:tr>
    </w:tbl>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directors voluntarily accepted a 15% reduction in their annual cash retainer effective April 1, 2020. In addition, Mr. Boehne waived the annual fee payable to him as the Chairman of the Board effective April 1, 2020. The director’s cash retainer and Mr. Boehne’s annual fee was restored effective January 1, 2021. The Company independently decided to use the cost savings associated with these voluntary reductions to fund a donation to The Scripps Howard Foundation’s COVID-19 Employee Relief Fund.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non-employee directors serving as of the 2020 Annual Meeting of Shareholders received a restricted share unit award equal to $95,000. The Committee, after receiving advice from its independent consultant, attempted to target the equity compensation award to be comparable to the median value of equity compensation granted to directors of our compensation peer group. The restricted share units are paid on the earlier of the first anniversary of the date of grant, at termination of the director’s service on the Board or a change in control. The restricted share units may be forfeited upon removal from the Board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The Board established stock ownership guidelines for our non-employee directors. Under these guidelines, each non-employee director must own a number of Class A Common Shares with a value equal to three times his or her annual cash retainer by the fifth anniversary of the date elected to the Board. For this purpose, the shares may be owned directly, in trust, or through any unvested restricted share units. The following table shows the actual ownership under the policy of each non-employee nominee for election to the Board.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shd w:val="clear" w:color="auto" w:fill="E7E7E8"/>
          </w:tcPr>
          <w:p>
            <w:pPr>
              <w:spacing w:after="0"/>
              <w:rPr>
                <w:sz w:val="14"/>
                <w:szCs w:val="14"/>
                <w:color w:val="auto"/>
              </w:rPr>
            </w:pPr>
          </w:p>
        </w:tc>
        <w:tc>
          <w:tcPr>
            <w:tcW w:w="3980" w:type="dxa"/>
            <w:vAlign w:val="bottom"/>
            <w:vMerge w:val="restart"/>
            <w:shd w:val="clear" w:color="auto" w:fill="E7E7E8"/>
          </w:tcPr>
          <w:p>
            <w:pPr>
              <w:jc w:val="center"/>
              <w:ind w:left="2415"/>
              <w:spacing w:after="0"/>
              <w:rPr>
                <w:sz w:val="20"/>
                <w:szCs w:val="20"/>
                <w:color w:val="auto"/>
              </w:rPr>
            </w:pPr>
            <w:r>
              <w:rPr>
                <w:rFonts w:ascii="Arial" w:cs="Arial" w:eastAsia="Arial" w:hAnsi="Arial"/>
                <w:sz w:val="14"/>
                <w:szCs w:val="14"/>
                <w:b w:val="1"/>
                <w:bCs w:val="1"/>
                <w:color w:val="0033A0"/>
                <w:w w:val="93"/>
              </w:rPr>
              <w:t>Ownership</w:t>
            </w:r>
          </w:p>
        </w:tc>
        <w:tc>
          <w:tcPr>
            <w:tcW w:w="1760" w:type="dxa"/>
            <w:vAlign w:val="bottom"/>
            <w:shd w:val="clear" w:color="auto" w:fill="E7E7E8"/>
          </w:tcPr>
          <w:p>
            <w:pPr>
              <w:jc w:val="center"/>
              <w:ind w:right="2"/>
              <w:spacing w:after="0"/>
              <w:rPr>
                <w:sz w:val="20"/>
                <w:szCs w:val="20"/>
                <w:color w:val="auto"/>
              </w:rPr>
            </w:pPr>
            <w:r>
              <w:rPr>
                <w:rFonts w:ascii="Arial" w:cs="Arial" w:eastAsia="Arial" w:hAnsi="Arial"/>
                <w:sz w:val="14"/>
                <w:szCs w:val="14"/>
                <w:b w:val="1"/>
                <w:bCs w:val="1"/>
                <w:color w:val="0033A0"/>
                <w:w w:val="95"/>
              </w:rPr>
              <w:t>Target Number of</w:t>
            </w:r>
          </w:p>
        </w:tc>
        <w:tc>
          <w:tcPr>
            <w:tcW w:w="146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033A0"/>
                <w:w w:val="93"/>
              </w:rPr>
              <w:t>Actual</w:t>
            </w:r>
          </w:p>
        </w:tc>
        <w:tc>
          <w:tcPr>
            <w:tcW w:w="0" w:type="dxa"/>
            <w:vAlign w:val="bottom"/>
          </w:tcPr>
          <w:p>
            <w:pPr>
              <w:spacing w:after="0"/>
              <w:rPr>
                <w:sz w:val="1"/>
                <w:szCs w:val="1"/>
                <w:color w:val="auto"/>
              </w:rPr>
            </w:pPr>
          </w:p>
        </w:tc>
      </w:tr>
      <w:tr>
        <w:trPr>
          <w:trHeight w:val="148"/>
        </w:trPr>
        <w:tc>
          <w:tcPr>
            <w:tcW w:w="4040" w:type="dxa"/>
            <w:vAlign w:val="bottom"/>
            <w:shd w:val="clear" w:color="auto" w:fill="E7E7E8"/>
          </w:tcPr>
          <w:p>
            <w:pPr>
              <w:spacing w:after="0"/>
              <w:rPr>
                <w:sz w:val="12"/>
                <w:szCs w:val="12"/>
                <w:color w:val="auto"/>
              </w:rPr>
            </w:pPr>
          </w:p>
        </w:tc>
        <w:tc>
          <w:tcPr>
            <w:tcW w:w="3980" w:type="dxa"/>
            <w:vAlign w:val="bottom"/>
            <w:vMerge w:val="continue"/>
            <w:shd w:val="clear" w:color="auto" w:fill="E7E7E8"/>
          </w:tcPr>
          <w:p>
            <w:pPr>
              <w:spacing w:after="0"/>
              <w:rPr>
                <w:sz w:val="12"/>
                <w:szCs w:val="12"/>
                <w:color w:val="auto"/>
              </w:rPr>
            </w:pPr>
          </w:p>
        </w:tc>
        <w:tc>
          <w:tcPr>
            <w:tcW w:w="1760" w:type="dxa"/>
            <w:vAlign w:val="bottom"/>
            <w:shd w:val="clear" w:color="auto" w:fill="E7E7E8"/>
          </w:tcPr>
          <w:p>
            <w:pPr>
              <w:jc w:val="center"/>
              <w:ind w:right="2"/>
              <w:spacing w:after="0" w:line="149" w:lineRule="exact"/>
              <w:rPr>
                <w:sz w:val="20"/>
                <w:szCs w:val="20"/>
                <w:color w:val="auto"/>
              </w:rPr>
            </w:pPr>
            <w:r>
              <w:rPr>
                <w:rFonts w:ascii="Arial" w:cs="Arial" w:eastAsia="Arial" w:hAnsi="Arial"/>
                <w:sz w:val="14"/>
                <w:szCs w:val="14"/>
                <w:b w:val="1"/>
                <w:bCs w:val="1"/>
                <w:color w:val="0033A0"/>
                <w:w w:val="89"/>
              </w:rPr>
              <w:t>Shares (based on</w:t>
            </w:r>
          </w:p>
        </w:tc>
        <w:tc>
          <w:tcPr>
            <w:tcW w:w="146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3"/>
              </w:rPr>
              <w:t>Ownership</w:t>
            </w:r>
          </w:p>
        </w:tc>
        <w:tc>
          <w:tcPr>
            <w:tcW w:w="0" w:type="dxa"/>
            <w:vAlign w:val="bottom"/>
          </w:tcPr>
          <w:p>
            <w:pPr>
              <w:spacing w:after="0"/>
              <w:rPr>
                <w:sz w:val="1"/>
                <w:szCs w:val="1"/>
                <w:color w:val="auto"/>
              </w:rPr>
            </w:pPr>
          </w:p>
        </w:tc>
      </w:tr>
      <w:tr>
        <w:trPr>
          <w:trHeight w:val="148"/>
        </w:trPr>
        <w:tc>
          <w:tcPr>
            <w:tcW w:w="404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Name</w:t>
            </w:r>
          </w:p>
        </w:tc>
        <w:tc>
          <w:tcPr>
            <w:tcW w:w="3980" w:type="dxa"/>
            <w:vAlign w:val="bottom"/>
            <w:shd w:val="clear" w:color="auto" w:fill="E7E7E8"/>
          </w:tcPr>
          <w:p>
            <w:pPr>
              <w:jc w:val="center"/>
              <w:ind w:left="2395"/>
              <w:spacing w:after="0" w:line="149" w:lineRule="exact"/>
              <w:rPr>
                <w:sz w:val="20"/>
                <w:szCs w:val="20"/>
                <w:color w:val="auto"/>
              </w:rPr>
            </w:pPr>
            <w:r>
              <w:rPr>
                <w:rFonts w:ascii="Arial" w:cs="Arial" w:eastAsia="Arial" w:hAnsi="Arial"/>
                <w:sz w:val="14"/>
                <w:szCs w:val="14"/>
                <w:b w:val="1"/>
                <w:bCs w:val="1"/>
                <w:color w:val="0033A0"/>
                <w:w w:val="92"/>
              </w:rPr>
              <w:t>Guidelines</w:t>
            </w:r>
          </w:p>
        </w:tc>
        <w:tc>
          <w:tcPr>
            <w:tcW w:w="1760" w:type="dxa"/>
            <w:vAlign w:val="bottom"/>
            <w:shd w:val="clear" w:color="auto" w:fill="E7E7E8"/>
          </w:tcPr>
          <w:p>
            <w:pPr>
              <w:jc w:val="center"/>
              <w:ind w:right="2"/>
              <w:spacing w:after="0" w:line="149" w:lineRule="exact"/>
              <w:rPr>
                <w:sz w:val="20"/>
                <w:szCs w:val="20"/>
                <w:color w:val="auto"/>
              </w:rPr>
            </w:pPr>
            <w:r>
              <w:rPr>
                <w:rFonts w:ascii="Arial" w:cs="Arial" w:eastAsia="Arial" w:hAnsi="Arial"/>
                <w:sz w:val="14"/>
                <w:szCs w:val="14"/>
                <w:b w:val="1"/>
                <w:bCs w:val="1"/>
                <w:color w:val="0033A0"/>
                <w:w w:val="92"/>
              </w:rPr>
              <w:t>1/29/2021 price</w:t>
            </w:r>
          </w:p>
        </w:tc>
        <w:tc>
          <w:tcPr>
            <w:tcW w:w="1460" w:type="dxa"/>
            <w:vAlign w:val="bottom"/>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85"/>
              </w:rPr>
              <w:t>as of</w:t>
            </w:r>
          </w:p>
        </w:tc>
        <w:tc>
          <w:tcPr>
            <w:tcW w:w="0" w:type="dxa"/>
            <w:vAlign w:val="bottom"/>
          </w:tcPr>
          <w:p>
            <w:pPr>
              <w:spacing w:after="0"/>
              <w:rPr>
                <w:sz w:val="1"/>
                <w:szCs w:val="1"/>
                <w:color w:val="auto"/>
              </w:rPr>
            </w:pPr>
          </w:p>
        </w:tc>
      </w:tr>
      <w:tr>
        <w:trPr>
          <w:trHeight w:val="178"/>
        </w:trPr>
        <w:tc>
          <w:tcPr>
            <w:tcW w:w="4040" w:type="dxa"/>
            <w:vAlign w:val="bottom"/>
            <w:tcBorders>
              <w:bottom w:val="single" w:sz="8" w:color="BFBFBF"/>
            </w:tcBorders>
            <w:vMerge w:val="continue"/>
            <w:shd w:val="clear" w:color="auto" w:fill="E7E7E8"/>
          </w:tcPr>
          <w:p>
            <w:pPr>
              <w:spacing w:after="0"/>
              <w:rPr>
                <w:sz w:val="15"/>
                <w:szCs w:val="15"/>
                <w:color w:val="auto"/>
              </w:rPr>
            </w:pPr>
          </w:p>
        </w:tc>
        <w:tc>
          <w:tcPr>
            <w:tcW w:w="3980" w:type="dxa"/>
            <w:vAlign w:val="bottom"/>
            <w:tcBorders>
              <w:bottom w:val="single" w:sz="8" w:color="BFBFBF"/>
            </w:tcBorders>
            <w:shd w:val="clear" w:color="auto" w:fill="E7E7E8"/>
          </w:tcPr>
          <w:p>
            <w:pPr>
              <w:jc w:val="center"/>
              <w:ind w:left="2395"/>
              <w:spacing w:after="0"/>
              <w:rPr>
                <w:sz w:val="20"/>
                <w:szCs w:val="20"/>
                <w:color w:val="auto"/>
              </w:rPr>
            </w:pPr>
            <w:r>
              <w:rPr>
                <w:rFonts w:ascii="Arial" w:cs="Arial" w:eastAsia="Arial" w:hAnsi="Arial"/>
                <w:sz w:val="14"/>
                <w:szCs w:val="14"/>
                <w:b w:val="1"/>
                <w:bCs w:val="1"/>
                <w:color w:val="0033A0"/>
                <w:w w:val="92"/>
              </w:rPr>
              <w:t>by Target Date</w:t>
            </w:r>
          </w:p>
        </w:tc>
        <w:tc>
          <w:tcPr>
            <w:tcW w:w="1760" w:type="dxa"/>
            <w:vAlign w:val="bottom"/>
            <w:tcBorders>
              <w:bottom w:val="single" w:sz="8" w:color="BFBFBF"/>
            </w:tcBorders>
            <w:shd w:val="clear" w:color="auto" w:fill="E7E7E8"/>
          </w:tcPr>
          <w:p>
            <w:pPr>
              <w:jc w:val="center"/>
              <w:ind w:right="2"/>
              <w:spacing w:after="0"/>
              <w:rPr>
                <w:sz w:val="20"/>
                <w:szCs w:val="20"/>
                <w:color w:val="auto"/>
              </w:rPr>
            </w:pPr>
            <w:r>
              <w:rPr>
                <w:rFonts w:ascii="Arial" w:cs="Arial" w:eastAsia="Arial" w:hAnsi="Arial"/>
                <w:sz w:val="14"/>
                <w:szCs w:val="14"/>
                <w:b w:val="1"/>
                <w:bCs w:val="1"/>
                <w:color w:val="0033A0"/>
                <w:w w:val="92"/>
              </w:rPr>
              <w:t>of $14.81)</w:t>
            </w:r>
          </w:p>
        </w:tc>
        <w:tc>
          <w:tcPr>
            <w:tcW w:w="1460" w:type="dxa"/>
            <w:vAlign w:val="bottom"/>
            <w:tcBorders>
              <w:bottom w:val="single" w:sz="8" w:color="BFBFBF"/>
            </w:tcBorders>
            <w:shd w:val="clear" w:color="auto" w:fill="E7E7E8"/>
          </w:tcPr>
          <w:p>
            <w:pPr>
              <w:jc w:val="right"/>
              <w:ind w:right="382"/>
              <w:spacing w:after="0"/>
              <w:rPr>
                <w:sz w:val="20"/>
                <w:szCs w:val="20"/>
                <w:color w:val="auto"/>
              </w:rPr>
            </w:pPr>
            <w:r>
              <w:rPr>
                <w:rFonts w:ascii="Arial" w:cs="Arial" w:eastAsia="Arial" w:hAnsi="Arial"/>
                <w:sz w:val="14"/>
                <w:szCs w:val="14"/>
                <w:b w:val="1"/>
                <w:bCs w:val="1"/>
                <w:color w:val="0033A0"/>
              </w:rPr>
              <w:t>1/29/2021</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Alexander</w:t>
            </w:r>
          </w:p>
        </w:tc>
        <w:tc>
          <w:tcPr>
            <w:tcW w:w="3980" w:type="dxa"/>
            <w:vAlign w:val="bottom"/>
            <w:tcBorders>
              <w:bottom w:val="single" w:sz="8" w:color="BFBFBF"/>
            </w:tcBorders>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tcPr>
          <w:p>
            <w:pPr>
              <w:jc w:val="right"/>
              <w:ind w:right="382"/>
              <w:spacing w:after="0"/>
              <w:rPr>
                <w:sz w:val="20"/>
                <w:szCs w:val="20"/>
                <w:color w:val="auto"/>
              </w:rPr>
            </w:pPr>
            <w:r>
              <w:rPr>
                <w:rFonts w:ascii="Arial" w:cs="Arial" w:eastAsia="Arial" w:hAnsi="Arial"/>
                <w:sz w:val="16"/>
                <w:szCs w:val="16"/>
                <w:color w:val="auto"/>
              </w:rPr>
              <w:t>17,696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shd w:val="clear" w:color="auto" w:fill="F3F3F4"/>
          </w:tcPr>
          <w:p>
            <w:pPr>
              <w:ind w:left="140"/>
              <w:spacing w:after="0"/>
              <w:rPr>
                <w:sz w:val="20"/>
                <w:szCs w:val="20"/>
                <w:color w:val="auto"/>
              </w:rPr>
            </w:pPr>
            <w:r>
              <w:rPr>
                <w:rFonts w:ascii="Arial" w:cs="Arial" w:eastAsia="Arial" w:hAnsi="Arial"/>
                <w:sz w:val="18"/>
                <w:szCs w:val="18"/>
                <w:b w:val="1"/>
                <w:bCs w:val="1"/>
                <w:color w:val="0033A0"/>
              </w:rPr>
              <w:t>Mr. Barmonde</w:t>
            </w:r>
          </w:p>
        </w:tc>
        <w:tc>
          <w:tcPr>
            <w:tcW w:w="3980" w:type="dxa"/>
            <w:vAlign w:val="bottom"/>
            <w:tcBorders>
              <w:bottom w:val="single" w:sz="8" w:color="BFBFBF"/>
            </w:tcBorders>
            <w:shd w:val="clear" w:color="auto" w:fill="F3F3F4"/>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shd w:val="clear" w:color="auto" w:fill="F3F3F4"/>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shd w:val="clear" w:color="auto" w:fill="F3F3F4"/>
          </w:tcPr>
          <w:p>
            <w:pPr>
              <w:jc w:val="right"/>
              <w:ind w:right="382"/>
              <w:spacing w:after="0"/>
              <w:rPr>
                <w:sz w:val="20"/>
                <w:szCs w:val="20"/>
                <w:color w:val="auto"/>
              </w:rPr>
            </w:pPr>
            <w:r>
              <w:rPr>
                <w:rFonts w:ascii="Arial" w:cs="Arial" w:eastAsia="Arial" w:hAnsi="Arial"/>
                <w:sz w:val="16"/>
                <w:szCs w:val="16"/>
                <w:color w:val="auto"/>
              </w:rPr>
              <w:t>619,480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Conlin</w:t>
            </w:r>
          </w:p>
        </w:tc>
        <w:tc>
          <w:tcPr>
            <w:tcW w:w="3980" w:type="dxa"/>
            <w:vAlign w:val="bottom"/>
            <w:tcBorders>
              <w:bottom w:val="single" w:sz="8" w:color="BFBFBF"/>
            </w:tcBorders>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tcPr>
          <w:p>
            <w:pPr>
              <w:jc w:val="right"/>
              <w:ind w:right="382"/>
              <w:spacing w:after="0"/>
              <w:rPr>
                <w:sz w:val="20"/>
                <w:szCs w:val="20"/>
                <w:color w:val="auto"/>
              </w:rPr>
            </w:pPr>
            <w:r>
              <w:rPr>
                <w:rFonts w:ascii="Arial" w:cs="Arial" w:eastAsia="Arial" w:hAnsi="Arial"/>
                <w:sz w:val="16"/>
                <w:szCs w:val="16"/>
                <w:color w:val="auto"/>
              </w:rPr>
              <w:t>41,663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shd w:val="clear" w:color="auto" w:fill="F3F3F4"/>
          </w:tcPr>
          <w:p>
            <w:pPr>
              <w:ind w:left="140"/>
              <w:spacing w:after="0"/>
              <w:rPr>
                <w:sz w:val="20"/>
                <w:szCs w:val="20"/>
                <w:color w:val="auto"/>
              </w:rPr>
            </w:pPr>
            <w:r>
              <w:rPr>
                <w:rFonts w:ascii="Arial" w:cs="Arial" w:eastAsia="Arial" w:hAnsi="Arial"/>
                <w:sz w:val="18"/>
                <w:szCs w:val="18"/>
                <w:b w:val="1"/>
                <w:bCs w:val="1"/>
                <w:color w:val="0033A0"/>
              </w:rPr>
              <w:t>Ms. Fine</w:t>
            </w:r>
          </w:p>
        </w:tc>
        <w:tc>
          <w:tcPr>
            <w:tcW w:w="3980" w:type="dxa"/>
            <w:vAlign w:val="bottom"/>
            <w:tcBorders>
              <w:bottom w:val="single" w:sz="8" w:color="BFBFBF"/>
            </w:tcBorders>
            <w:shd w:val="clear" w:color="auto" w:fill="F3F3F4"/>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shd w:val="clear" w:color="auto" w:fill="F3F3F4"/>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shd w:val="clear" w:color="auto" w:fill="F3F3F4"/>
          </w:tcPr>
          <w:p>
            <w:pPr>
              <w:jc w:val="right"/>
              <w:ind w:right="382"/>
              <w:spacing w:after="0"/>
              <w:rPr>
                <w:sz w:val="20"/>
                <w:szCs w:val="20"/>
                <w:color w:val="auto"/>
              </w:rPr>
            </w:pPr>
            <w:r>
              <w:rPr>
                <w:rFonts w:ascii="Arial" w:cs="Arial" w:eastAsia="Arial" w:hAnsi="Arial"/>
                <w:sz w:val="16"/>
                <w:szCs w:val="16"/>
                <w:color w:val="auto"/>
              </w:rPr>
              <w:t>23,728</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Mr. Hayden</w:t>
            </w:r>
          </w:p>
        </w:tc>
        <w:tc>
          <w:tcPr>
            <w:tcW w:w="3980" w:type="dxa"/>
            <w:vAlign w:val="bottom"/>
            <w:tcBorders>
              <w:bottom w:val="single" w:sz="8" w:color="BFBFBF"/>
            </w:tcBorders>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tcPr>
          <w:p>
            <w:pPr>
              <w:jc w:val="right"/>
              <w:ind w:right="382"/>
              <w:spacing w:after="0"/>
              <w:rPr>
                <w:sz w:val="20"/>
                <w:szCs w:val="20"/>
                <w:color w:val="auto"/>
              </w:rPr>
            </w:pPr>
            <w:r>
              <w:rPr>
                <w:rFonts w:ascii="Arial" w:cs="Arial" w:eastAsia="Arial" w:hAnsi="Arial"/>
                <w:sz w:val="16"/>
                <w:szCs w:val="16"/>
                <w:color w:val="auto"/>
              </w:rPr>
              <w:t>88,773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shd w:val="clear" w:color="auto" w:fill="F3F3F4"/>
          </w:tcPr>
          <w:p>
            <w:pPr>
              <w:ind w:left="140"/>
              <w:spacing w:after="0"/>
              <w:rPr>
                <w:sz w:val="20"/>
                <w:szCs w:val="20"/>
                <w:color w:val="auto"/>
              </w:rPr>
            </w:pPr>
            <w:r>
              <w:rPr>
                <w:rFonts w:ascii="Arial" w:cs="Arial" w:eastAsia="Arial" w:hAnsi="Arial"/>
                <w:sz w:val="18"/>
                <w:szCs w:val="18"/>
                <w:b w:val="1"/>
                <w:bCs w:val="1"/>
                <w:color w:val="0033A0"/>
              </w:rPr>
              <w:t>Ms. La Dow</w:t>
            </w:r>
          </w:p>
        </w:tc>
        <w:tc>
          <w:tcPr>
            <w:tcW w:w="3980" w:type="dxa"/>
            <w:vAlign w:val="bottom"/>
            <w:tcBorders>
              <w:bottom w:val="single" w:sz="8" w:color="BFBFBF"/>
            </w:tcBorders>
            <w:shd w:val="clear" w:color="auto" w:fill="F3F3F4"/>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shd w:val="clear" w:color="auto" w:fill="F3F3F4"/>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shd w:val="clear" w:color="auto" w:fill="F3F3F4"/>
          </w:tcPr>
          <w:p>
            <w:pPr>
              <w:jc w:val="right"/>
              <w:ind w:right="382"/>
              <w:spacing w:after="0"/>
              <w:rPr>
                <w:sz w:val="20"/>
                <w:szCs w:val="20"/>
                <w:color w:val="auto"/>
              </w:rPr>
            </w:pPr>
            <w:r>
              <w:rPr>
                <w:rFonts w:ascii="Arial" w:cs="Arial" w:eastAsia="Arial" w:hAnsi="Arial"/>
                <w:sz w:val="16"/>
                <w:szCs w:val="16"/>
                <w:color w:val="auto"/>
              </w:rPr>
              <w:t>44,847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Lucas</w:t>
            </w:r>
          </w:p>
        </w:tc>
        <w:tc>
          <w:tcPr>
            <w:tcW w:w="3980" w:type="dxa"/>
            <w:vAlign w:val="bottom"/>
            <w:tcBorders>
              <w:bottom w:val="single" w:sz="8" w:color="BFBFBF"/>
            </w:tcBorders>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tcPr>
          <w:p>
            <w:pPr>
              <w:jc w:val="right"/>
              <w:ind w:right="382"/>
              <w:spacing w:after="0"/>
              <w:rPr>
                <w:sz w:val="20"/>
                <w:szCs w:val="20"/>
                <w:color w:val="auto"/>
              </w:rPr>
            </w:pPr>
            <w:r>
              <w:rPr>
                <w:rFonts w:ascii="Arial" w:cs="Arial" w:eastAsia="Arial" w:hAnsi="Arial"/>
                <w:sz w:val="16"/>
                <w:szCs w:val="16"/>
                <w:color w:val="auto"/>
              </w:rPr>
              <w:t>17,257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shd w:val="clear" w:color="auto" w:fill="F3F3F4"/>
          </w:tcPr>
          <w:p>
            <w:pPr>
              <w:ind w:left="140"/>
              <w:spacing w:after="0"/>
              <w:rPr>
                <w:sz w:val="20"/>
                <w:szCs w:val="20"/>
                <w:color w:val="auto"/>
              </w:rPr>
            </w:pPr>
            <w:r>
              <w:rPr>
                <w:rFonts w:ascii="Arial" w:cs="Arial" w:eastAsia="Arial" w:hAnsi="Arial"/>
                <w:sz w:val="18"/>
                <w:szCs w:val="18"/>
                <w:b w:val="1"/>
                <w:bCs w:val="1"/>
                <w:color w:val="0033A0"/>
              </w:rPr>
              <w:t>Mr. Scagliotti</w:t>
            </w:r>
          </w:p>
        </w:tc>
        <w:tc>
          <w:tcPr>
            <w:tcW w:w="3980" w:type="dxa"/>
            <w:vAlign w:val="bottom"/>
            <w:tcBorders>
              <w:bottom w:val="single" w:sz="8" w:color="BFBFBF"/>
            </w:tcBorders>
            <w:shd w:val="clear" w:color="auto" w:fill="F3F3F4"/>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shd w:val="clear" w:color="auto" w:fill="F3F3F4"/>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shd w:val="clear" w:color="auto" w:fill="F3F3F4"/>
          </w:tcPr>
          <w:p>
            <w:pPr>
              <w:jc w:val="right"/>
              <w:ind w:right="382"/>
              <w:spacing w:after="0"/>
              <w:rPr>
                <w:sz w:val="20"/>
                <w:szCs w:val="20"/>
                <w:color w:val="auto"/>
              </w:rPr>
            </w:pPr>
            <w:r>
              <w:rPr>
                <w:rFonts w:ascii="Arial" w:cs="Arial" w:eastAsia="Arial" w:hAnsi="Arial"/>
                <w:sz w:val="16"/>
                <w:szCs w:val="16"/>
                <w:color w:val="auto"/>
              </w:rPr>
              <w:t>27,026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BFBFBF"/>
            </w:tcBorders>
          </w:tcPr>
          <w:p>
            <w:pPr>
              <w:ind w:left="140"/>
              <w:spacing w:after="0"/>
              <w:rPr>
                <w:sz w:val="20"/>
                <w:szCs w:val="20"/>
                <w:color w:val="auto"/>
              </w:rPr>
            </w:pPr>
            <w:r>
              <w:rPr>
                <w:rFonts w:ascii="Arial" w:cs="Arial" w:eastAsia="Arial" w:hAnsi="Arial"/>
                <w:sz w:val="18"/>
                <w:szCs w:val="18"/>
                <w:b w:val="1"/>
                <w:bCs w:val="1"/>
                <w:color w:val="0033A0"/>
              </w:rPr>
              <w:t>Ms. Williams</w:t>
            </w:r>
          </w:p>
        </w:tc>
        <w:tc>
          <w:tcPr>
            <w:tcW w:w="3980" w:type="dxa"/>
            <w:vAlign w:val="bottom"/>
            <w:tcBorders>
              <w:bottom w:val="single" w:sz="8" w:color="BFBFBF"/>
            </w:tcBorders>
          </w:tcPr>
          <w:p>
            <w:pPr>
              <w:jc w:val="center"/>
              <w:ind w:left="2415"/>
              <w:spacing w:after="0"/>
              <w:rPr>
                <w:sz w:val="20"/>
                <w:szCs w:val="20"/>
                <w:color w:val="auto"/>
              </w:rPr>
            </w:pPr>
            <w:r>
              <w:rPr>
                <w:rFonts w:ascii="Arial" w:cs="Arial" w:eastAsia="Arial" w:hAnsi="Arial"/>
                <w:sz w:val="18"/>
                <w:szCs w:val="18"/>
                <w:color w:val="auto"/>
                <w:w w:val="90"/>
              </w:rPr>
              <w:t>3 x Retainer</w:t>
            </w:r>
          </w:p>
        </w:tc>
        <w:tc>
          <w:tcPr>
            <w:tcW w:w="1760" w:type="dxa"/>
            <w:vAlign w:val="bottom"/>
            <w:tcBorders>
              <w:bottom w:val="single" w:sz="8" w:color="BFBFBF"/>
            </w:tcBorders>
          </w:tcPr>
          <w:p>
            <w:pPr>
              <w:jc w:val="right"/>
              <w:ind w:right="562"/>
              <w:spacing w:after="0"/>
              <w:rPr>
                <w:sz w:val="20"/>
                <w:szCs w:val="20"/>
                <w:color w:val="auto"/>
              </w:rPr>
            </w:pPr>
            <w:r>
              <w:rPr>
                <w:rFonts w:ascii="Arial" w:cs="Arial" w:eastAsia="Arial" w:hAnsi="Arial"/>
                <w:sz w:val="16"/>
                <w:szCs w:val="16"/>
                <w:color w:val="auto"/>
              </w:rPr>
              <w:t>9,115</w:t>
            </w:r>
          </w:p>
        </w:tc>
        <w:tc>
          <w:tcPr>
            <w:tcW w:w="1460" w:type="dxa"/>
            <w:vAlign w:val="bottom"/>
            <w:tcBorders>
              <w:bottom w:val="single" w:sz="8" w:color="BFBFBF"/>
            </w:tcBorders>
          </w:tcPr>
          <w:p>
            <w:pPr>
              <w:jc w:val="right"/>
              <w:ind w:right="382"/>
              <w:spacing w:after="0"/>
              <w:rPr>
                <w:sz w:val="20"/>
                <w:szCs w:val="20"/>
                <w:color w:val="auto"/>
              </w:rPr>
            </w:pPr>
            <w:r>
              <w:rPr>
                <w:rFonts w:ascii="Arial" w:cs="Arial" w:eastAsia="Arial" w:hAnsi="Arial"/>
                <w:sz w:val="16"/>
                <w:szCs w:val="16"/>
                <w:color w:val="auto"/>
              </w:rPr>
              <w:t>166,931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above compensation, the Scripps Howard Foundation, an affiliate of the Company, matches, on a dollar-for-dollar basis, up to $2,500 annually of charitable contributions made by non-employee directors to qualifying organizations. This program also is available to all Scripps’ employees. None of the Company's non-employee directors elected to use the matching contribution for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1997 Deferred Compensation and Stock Plan for Directors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non-employee director may elect to defer payment of all or a designated percentage of the cash compensation received as a director under the Company’s 1997 Deferred Compensation and Stock Plan for Directors (“DCSPD”). The director may allocate the deferrals between a phantom stock account that credits earnings including dividends, based on the Company’s Class A Common Shares, or to a fixed-income account that credits interest based on the 12-month average of the 10-year treasury rate (as of November of each year), plus 1 percent. The deferred amounts (as adjusted for earnings, interest and losses) are paid to the director at the time he or she ceases to serve as a director or upon a date predetermined by the director, either in a lump sum or annual installments over a specified number of years (not to exceed 15) as elected by the director. Payments generally are made in the form of cash, except that the director may elect to receive all or a portion of the amounts credited to his or her phantom stock account in the form of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9"/>
          <w:szCs w:val="29"/>
          <w:b w:val="1"/>
          <w:bCs w:val="1"/>
          <w:color w:val="0033A0"/>
        </w:rPr>
        <w:t>Compensation Committee Interlocks and Insider Participation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member of the Company’s Compensation Committee (Mr. Conlin, chair, Mr. Alexander, Ms. La Dow and Ms. Lucas) is a current or former employee of the Company. None of our executive officers served as a member of the compensation committee or a director of another company where such company's executive officers served on our Board or compensation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Related Party 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its charter, the audit committee of the Board is responsible for reviewing any proposed related party transaction. The audit committee has approved a “Statement of Policy with Respect to Related Party Transactions” which recognizes that related party transactions can present a heightened risk of conflicts of interest and/or improper valuation (or the perception thereof). This policy requires that a related party transaction be consummated or continued only if</w:t>
      </w:r>
    </w:p>
    <w:p>
      <w:pPr>
        <w:spacing w:after="0" w:line="2" w:lineRule="exact"/>
        <w:rPr>
          <w:sz w:val="20"/>
          <w:szCs w:val="20"/>
          <w:color w:val="auto"/>
        </w:rPr>
      </w:pPr>
    </w:p>
    <w:p>
      <w:pPr>
        <w:jc w:val="both"/>
        <w:ind w:firstLine="8"/>
        <w:spacing w:after="0" w:line="273" w:lineRule="auto"/>
        <w:tabs>
          <w:tab w:leader="none" w:pos="2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audit committee has approved or ratified the transaction, (ii) the transaction is on terms comparable to those that could be obtained in arm’s length dealings with an unrelated third party, (iii) in the case of compensation payable to an executive officer, such compensation has been approved or recommended to the Board for approval by the Compensation Committee, and (iv) the transaction is also approved by the Board if the transaction involves the chairman of the Board or the chief executive officer of the Company. There were no related party transactions in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Scripps Family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provisions of the Amended and Restated Scripps Family Agreement, dated May 19, 2015 (the “Scripps Family Agreement”) govern the transfer and voting of Common Voting Shares held by the signatories to such agreement (the “Signatories”). The Edward W. Scripps Trust (the “Trust”), the former controlling shareholder of the Company, ended on October 18, 2012, upon the death of Robert P. Scripps, a grandson of the founder. He was the last of Edward W. Scripps’ grandchildren upon whom the duration of the Trust was based. In March and September of 2013, the Trust distributed its Class A Common Shares and Common Voting Shares to the beneficiaries of the Trust, some of whom were minors at the time of distribution (each, a “Minor”). The beneficiaries (other than the Minors), their descendants, members of the John P. Scripps family and trusts for their benefit are Signatories. Common Voting Shares are held on behalf of the Minors in trust arrangements, of which certain Signatories serve as trustees or trust advisors, but such shares are not subject to the Scripps Family Agreement. The Minors may or may not become parties in the future.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No Signatory to the Scripps Family Agreement may dispose of any Common Voting Shares (except as otherwise summarized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first giving other Signatories and the Company the opportunity to purchase such shares. Signatories may not convert Common Voting Shares into Class A Common Shares except for a limited period of time after giving other Signatories and the Company the opportunity to purchase such shares, and except in certain other limited circumstances.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Signatories may transfer Common Voting Shares (1) to lineal descendants or (2) by gift or testamentary transfer to (a) lineal descendants of Robert Paine Scripps or John P. Scripps, (b) any trust for the benefit of such descendant, the spouse of such descendant or a charitable organization controlled, directly or indirectly, by such descendants, or for which the power to vote and dispose of the Common Voting Shares is directed by family descendant, or (c) any entity or charitable organizations controlled, directly or indirectly, by such descendants, or for which the power to vote and dispose of the Common Voting Shares is directed by family descendants. However, such transfers are valid only if each recipient (including, when applicable, the trustees and other persons with voting and dispositive power with respect to any trust, charitable organization or entity into which such shares are transferred) becomes party to the Scripps Family Agreement effective upon receipt of the shares. Additionally, Signatories may transfer Common Voting Shares by testamentary transfer or through family trusts to their spouses provided such shares are converted to Class A Common Shares and may pledge such shares as collateral security provided that the pledgee agrees to be bound by the terms of the Scripps Family Agreement. If title to any such shares subject to any trust is transferred to anyone other than a descendant of Robert Paine Scripps or John P. Scripps, or if a person who is a descendant of Robert Paine Scripps or John P. Scripps acquires outright any such shares held in trust but is not or does not become a party to the Scripps Family Agreement, such shares shall be deemed to be offered for sale pursuant to the Scripps Family Agreement and trigger the purchase rights of the other Signatories and the Company described above. Any valid transfer of Common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Shares made by Signatories without compliance with the Scripps Family Agreement will result in automatic conversion of such shares to Class A Common Shares.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Voting Provisions. </w:t>
      </w:r>
      <w:r>
        <w:rPr>
          <w:rFonts w:ascii="Arial" w:cs="Arial" w:eastAsia="Arial" w:hAnsi="Arial"/>
          <w:sz w:val="17"/>
          <w:szCs w:val="17"/>
          <w:color w:val="auto"/>
        </w:rPr>
        <w:t>The Scripps Family Agreement provides that the Company will call a meeting of the Signatories prior to each annual or special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shareholders of the Company. At each of these meetings, the Company will submit to the Signatories each matter, including election of directors, that the Company will submit to its shareholders at the annual meeting or special meeting with respect to which the meeting under the Scripps Family Agreement has been called. Each Signatory is entitled, either in person or by proxy, to cast one vote for each Common Voting Share owned of record or beneficially by him or her on each such matter brought for a vote at the family meeting. Each Signatory is bound by the decision reached by majority vote with respect to each such matter and, at the related annual or special meeting of the shareholders of the Company, each Signatory must vote his or her Common Voting Shares in accordance with the decisions reached at the family meeting. In furtherance of this obligation, the Signatories have irrevocably appointed each other as their attorneys and proxies to vote their Common Voting Shares at any such annual or special meeting. As a result, any one Signatory may vote all the Common Voting Shares held by all the Signatories.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Duration of the Scripps Family Agreement. </w:t>
      </w:r>
      <w:r>
        <w:rPr>
          <w:rFonts w:ascii="Arial" w:cs="Arial" w:eastAsia="Arial" w:hAnsi="Arial"/>
          <w:sz w:val="18"/>
          <w:szCs w:val="18"/>
          <w:color w:val="auto"/>
        </w:rPr>
        <w:t>The provisions restricting transfer of Common Voting Shares under the Scripps Family Agreement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until 21 years after the death of the last survivor of the descendants of Robert Paine Scripps and John P. Scripps, alive when the Trust terminated. The provisions of the Scripps Family Agreement governing the voting of Common Voting Shares are effective for a 10-year period (October 18, 2012, to October 18, 2022) and may be renewed for additional 10-year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59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center"/>
        <w:spacing w:after="0" w:line="255" w:lineRule="auto"/>
        <w:rPr>
          <w:sz w:val="20"/>
          <w:szCs w:val="20"/>
          <w:color w:val="auto"/>
        </w:rPr>
      </w:pPr>
      <w:r>
        <w:rPr>
          <w:rFonts w:ascii="Arial" w:cs="Arial" w:eastAsia="Arial" w:hAnsi="Arial"/>
          <w:sz w:val="29"/>
          <w:szCs w:val="29"/>
          <w:b w:val="1"/>
          <w:bCs w:val="1"/>
          <w:color w:val="0033A0"/>
        </w:rPr>
        <w:t>Proposal 2 to Ratify Deloitte &amp; Touche LLP as the Company’s Independent Registered Public Accounting Firm for 2021</w:t>
      </w:r>
    </w:p>
    <w:p>
      <w:pPr>
        <w:jc w:val="center"/>
        <w:spacing w:after="0"/>
        <w:rPr>
          <w:sz w:val="20"/>
          <w:szCs w:val="20"/>
          <w:color w:val="auto"/>
        </w:rPr>
      </w:pPr>
      <w:r>
        <w:rPr>
          <w:rFonts w:ascii="Arial" w:cs="Arial" w:eastAsia="Arial" w:hAnsi="Arial"/>
          <w:sz w:val="18"/>
          <w:szCs w:val="18"/>
          <w:color w:val="0033A0"/>
        </w:rPr>
        <w:t>(Item 2 on Proxy Card for Vote by Common Voting Shares only)</w:t>
      </w:r>
    </w:p>
    <w:p>
      <w:pPr>
        <w:spacing w:after="0" w:line="200" w:lineRule="exact"/>
        <w:rPr>
          <w:sz w:val="20"/>
          <w:szCs w:val="20"/>
          <w:color w:val="auto"/>
        </w:rPr>
      </w:pP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the independent external audit firm retained to audit the Company’s financial statements. The audit committee has appointed Deloitte &amp; Touche LLP (“Deloitte”) as independent registered public accountants for the Company for the fiscal year ending December 31, 2021. Shareholder ratification of the selection of Deloitte as the Company’s independent registered public accounting firm is not required by law or otherwise. However, the Board is submitting the selection of Deloitte to the holders of Common Voting Shares for ratification as a matter of good corporate governance. If the holders of Common Voting Shares do not ratify the selection of Deloitte, the audit committee will reconsider the matter. A representative of Deloitte is expected to be present at the Annual Meeting, will have an opportunity to make a statement if he or she desires, and will be available to respond to appropriate questions.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Approval of the ratification of Deloitte as our independent registered public accounting firm for the fiscal year ending December 31, 2021 requires the affirmative vote of the holders of a majority of the votes cast in person or by proxy by the holders of the Common Voting Shares represented and entitled to vote at the Annual Meeting. </w:t>
      </w:r>
      <w:r>
        <w:rPr>
          <w:rFonts w:ascii="Arial" w:cs="Arial" w:eastAsia="Arial" w:hAnsi="Arial"/>
          <w:sz w:val="16"/>
          <w:szCs w:val="16"/>
          <w:b w:val="1"/>
          <w:bCs w:val="1"/>
          <w:color w:val="auto"/>
        </w:rPr>
        <w:t>The Board recommends that holders of the Common Voting Shares vote “FOR” ratification of the selection of Deloitte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as the Company’s independent registered public accounting firm for fiscal 2021. </w:t>
      </w:r>
      <w:r>
        <w:rPr>
          <w:rFonts w:ascii="Arial" w:cs="Arial" w:eastAsia="Arial" w:hAnsi="Arial"/>
          <w:sz w:val="16"/>
          <w:szCs w:val="16"/>
          <w:color w:val="auto"/>
        </w:rPr>
        <w:t>Proxies for Common Voting Shares solicited by the Board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voted “FOR” the ratification of Deloitte as the Company’s independent registered public accounting firm for fiscal 2021, unless shareholders specify a contrary choice in their proxies. Abstentions will be treated as votes cast and, consequently, will have the same effect as votes against Proposal 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Fees Paid to the Independent Registered Public Accounting Firm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fees for all professional services rendered by Deloitte to the Company for the years ended December 31, 2020, and 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20" w:type="dxa"/>
            <w:vAlign w:val="bottom"/>
            <w:tcBorders>
              <w:top w:val="single" w:sz="8" w:color="BFBFBF"/>
              <w:bottom w:val="single" w:sz="8" w:color="BFBFBF"/>
            </w:tcBorders>
            <w:shd w:val="clear" w:color="auto" w:fill="E6E6E6"/>
          </w:tcPr>
          <w:p>
            <w:pPr>
              <w:spacing w:after="0"/>
              <w:rPr>
                <w:sz w:val="21"/>
                <w:szCs w:val="21"/>
                <w:color w:val="auto"/>
              </w:rPr>
            </w:pPr>
          </w:p>
        </w:tc>
        <w:tc>
          <w:tcPr>
            <w:tcW w:w="2500" w:type="dxa"/>
            <w:vAlign w:val="bottom"/>
            <w:tcBorders>
              <w:top w:val="single" w:sz="8" w:color="BFBFBF"/>
              <w:bottom w:val="single" w:sz="8" w:color="BFBFBF"/>
            </w:tcBorders>
            <w:shd w:val="clear" w:color="auto" w:fill="E6E6E6"/>
          </w:tcPr>
          <w:p>
            <w:pPr>
              <w:spacing w:after="0"/>
              <w:rPr>
                <w:sz w:val="21"/>
                <w:szCs w:val="21"/>
                <w:color w:val="auto"/>
              </w:rPr>
            </w:pPr>
          </w:p>
        </w:tc>
        <w:tc>
          <w:tcPr>
            <w:tcW w:w="340" w:type="dxa"/>
            <w:vAlign w:val="bottom"/>
            <w:tcBorders>
              <w:top w:val="single" w:sz="8" w:color="BFBFBF"/>
              <w:bottom w:val="single" w:sz="8" w:color="BFBFBF"/>
            </w:tcBorders>
            <w:shd w:val="clear" w:color="auto" w:fill="E6E6E6"/>
          </w:tcPr>
          <w:p>
            <w:pPr>
              <w:spacing w:after="0"/>
              <w:rPr>
                <w:sz w:val="21"/>
                <w:szCs w:val="21"/>
                <w:color w:val="auto"/>
              </w:rPr>
            </w:pPr>
          </w:p>
        </w:tc>
        <w:tc>
          <w:tcPr>
            <w:tcW w:w="1320" w:type="dxa"/>
            <w:vAlign w:val="bottom"/>
            <w:tcBorders>
              <w:top w:val="single" w:sz="8" w:color="BFBFBF"/>
              <w:bottom w:val="single" w:sz="8" w:color="BFBFBF"/>
            </w:tcBorders>
            <w:shd w:val="clear" w:color="auto" w:fill="E6E6E6"/>
          </w:tcPr>
          <w:p>
            <w:pPr>
              <w:jc w:val="right"/>
              <w:ind w:right="659"/>
              <w:spacing w:after="0"/>
              <w:rPr>
                <w:sz w:val="20"/>
                <w:szCs w:val="20"/>
                <w:color w:val="auto"/>
              </w:rPr>
            </w:pPr>
            <w:r>
              <w:rPr>
                <w:rFonts w:ascii="Arial" w:cs="Arial" w:eastAsia="Arial" w:hAnsi="Arial"/>
                <w:sz w:val="16"/>
                <w:szCs w:val="16"/>
                <w:b w:val="1"/>
                <w:bCs w:val="1"/>
                <w:color w:val="0033A0"/>
              </w:rPr>
              <w:t>2020</w:t>
            </w:r>
          </w:p>
        </w:tc>
        <w:tc>
          <w:tcPr>
            <w:tcW w:w="180" w:type="dxa"/>
            <w:vAlign w:val="bottom"/>
            <w:tcBorders>
              <w:top w:val="single" w:sz="8" w:color="BFBFBF"/>
              <w:bottom w:val="single" w:sz="8" w:color="BFBFBF"/>
            </w:tcBorders>
            <w:shd w:val="clear" w:color="auto" w:fill="E6E6E6"/>
          </w:tcPr>
          <w:p>
            <w:pPr>
              <w:spacing w:after="0"/>
              <w:rPr>
                <w:sz w:val="21"/>
                <w:szCs w:val="21"/>
                <w:color w:val="auto"/>
              </w:rPr>
            </w:pPr>
          </w:p>
        </w:tc>
        <w:tc>
          <w:tcPr>
            <w:tcW w:w="340" w:type="dxa"/>
            <w:vAlign w:val="bottom"/>
            <w:tcBorders>
              <w:top w:val="single" w:sz="8" w:color="BFBFBF"/>
              <w:bottom w:val="single" w:sz="8" w:color="BFBFBF"/>
            </w:tcBorders>
            <w:shd w:val="clear" w:color="auto" w:fill="E6E6E6"/>
          </w:tcPr>
          <w:p>
            <w:pPr>
              <w:spacing w:after="0"/>
              <w:rPr>
                <w:sz w:val="21"/>
                <w:szCs w:val="21"/>
                <w:color w:val="auto"/>
              </w:rPr>
            </w:pPr>
          </w:p>
        </w:tc>
        <w:tc>
          <w:tcPr>
            <w:tcW w:w="1340" w:type="dxa"/>
            <w:vAlign w:val="bottom"/>
            <w:tcBorders>
              <w:top w:val="single" w:sz="8" w:color="BFBFBF"/>
              <w:bottom w:val="single" w:sz="8" w:color="BFBFBF"/>
            </w:tcBorders>
            <w:shd w:val="clear" w:color="auto" w:fill="E6E6E6"/>
          </w:tcPr>
          <w:p>
            <w:pPr>
              <w:jc w:val="right"/>
              <w:ind w:right="659"/>
              <w:spacing w:after="0"/>
              <w:rPr>
                <w:sz w:val="20"/>
                <w:szCs w:val="20"/>
                <w:color w:val="auto"/>
              </w:rPr>
            </w:pPr>
            <w:r>
              <w:rPr>
                <w:rFonts w:ascii="Arial" w:cs="Arial" w:eastAsia="Arial" w:hAnsi="Arial"/>
                <w:sz w:val="16"/>
                <w:szCs w:val="16"/>
                <w:b w:val="1"/>
                <w:bCs w:val="1"/>
                <w:color w:val="0033A0"/>
              </w:rPr>
              <w:t>2019</w:t>
            </w:r>
          </w:p>
        </w:tc>
      </w:tr>
      <w:tr>
        <w:trPr>
          <w:trHeight w:val="230"/>
        </w:trPr>
        <w:tc>
          <w:tcPr>
            <w:tcW w:w="522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Audit fees</w:t>
            </w:r>
          </w:p>
        </w:tc>
        <w:tc>
          <w:tcPr>
            <w:tcW w:w="2840" w:type="dxa"/>
            <w:vAlign w:val="bottom"/>
            <w:tcBorders>
              <w:bottom w:val="single" w:sz="8" w:color="BFBFBF"/>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FBFBF"/>
            </w:tcBorders>
          </w:tcPr>
          <w:p>
            <w:pPr>
              <w:jc w:val="right"/>
              <w:ind w:right="39"/>
              <w:spacing w:after="0"/>
              <w:rPr>
                <w:sz w:val="20"/>
                <w:szCs w:val="20"/>
                <w:color w:val="auto"/>
              </w:rPr>
            </w:pPr>
            <w:r>
              <w:rPr>
                <w:rFonts w:ascii="Arial" w:cs="Arial" w:eastAsia="Arial" w:hAnsi="Arial"/>
                <w:sz w:val="16"/>
                <w:szCs w:val="16"/>
                <w:color w:val="auto"/>
              </w:rPr>
              <w:t>1,900,300</w:t>
            </w:r>
          </w:p>
        </w:tc>
        <w:tc>
          <w:tcPr>
            <w:tcW w:w="520" w:type="dxa"/>
            <w:vAlign w:val="bottom"/>
            <w:tcBorders>
              <w:bottom w:val="single" w:sz="8" w:color="BFBFBF"/>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2,253,449</w:t>
            </w:r>
          </w:p>
        </w:tc>
      </w:tr>
      <w:tr>
        <w:trPr>
          <w:trHeight w:val="223"/>
        </w:trPr>
        <w:tc>
          <w:tcPr>
            <w:tcW w:w="522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color w:val="auto"/>
              </w:rPr>
              <w:t>Audit-related fees</w:t>
            </w:r>
          </w:p>
        </w:tc>
        <w:tc>
          <w:tcPr>
            <w:tcW w:w="2500" w:type="dxa"/>
            <w:vAlign w:val="bottom"/>
            <w:tcBorders>
              <w:bottom w:val="single" w:sz="8" w:color="BFBFBF"/>
            </w:tcBorders>
            <w:shd w:val="clear" w:color="auto" w:fill="F2F2F2"/>
          </w:tcPr>
          <w:p>
            <w:pPr>
              <w:spacing w:after="0"/>
              <w:rPr>
                <w:sz w:val="19"/>
                <w:szCs w:val="19"/>
                <w:color w:val="auto"/>
              </w:rPr>
            </w:pPr>
          </w:p>
        </w:tc>
        <w:tc>
          <w:tcPr>
            <w:tcW w:w="340" w:type="dxa"/>
            <w:vAlign w:val="bottom"/>
            <w:tcBorders>
              <w:bottom w:val="single" w:sz="8" w:color="auto"/>
            </w:tcBorders>
            <w:shd w:val="clear" w:color="auto" w:fill="F2F2F2"/>
          </w:tcPr>
          <w:p>
            <w:pPr>
              <w:spacing w:after="0"/>
              <w:rPr>
                <w:sz w:val="19"/>
                <w:szCs w:val="19"/>
                <w:color w:val="auto"/>
              </w:rPr>
            </w:pPr>
          </w:p>
        </w:tc>
        <w:tc>
          <w:tcPr>
            <w:tcW w:w="132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87,043</w:t>
            </w:r>
          </w:p>
        </w:tc>
        <w:tc>
          <w:tcPr>
            <w:tcW w:w="180" w:type="dxa"/>
            <w:vAlign w:val="bottom"/>
            <w:tcBorders>
              <w:bottom w:val="single" w:sz="8" w:color="BFBFBF"/>
            </w:tcBorders>
            <w:shd w:val="clear" w:color="auto" w:fill="F2F2F2"/>
          </w:tcPr>
          <w:p>
            <w:pPr>
              <w:spacing w:after="0"/>
              <w:rPr>
                <w:sz w:val="19"/>
                <w:szCs w:val="19"/>
                <w:color w:val="auto"/>
              </w:rPr>
            </w:pPr>
          </w:p>
        </w:tc>
        <w:tc>
          <w:tcPr>
            <w:tcW w:w="340" w:type="dxa"/>
            <w:vAlign w:val="bottom"/>
            <w:tcBorders>
              <w:bottom w:val="single" w:sz="8" w:color="auto"/>
            </w:tcBorders>
            <w:shd w:val="clear" w:color="auto" w:fill="F2F2F2"/>
          </w:tcPr>
          <w:p>
            <w:pPr>
              <w:spacing w:after="0"/>
              <w:rPr>
                <w:sz w:val="19"/>
                <w:szCs w:val="19"/>
                <w:color w:val="auto"/>
              </w:rPr>
            </w:pPr>
          </w:p>
        </w:tc>
        <w:tc>
          <w:tcPr>
            <w:tcW w:w="134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92,028</w:t>
            </w:r>
          </w:p>
        </w:tc>
      </w:tr>
      <w:tr>
        <w:trPr>
          <w:trHeight w:val="223"/>
        </w:trPr>
        <w:tc>
          <w:tcPr>
            <w:tcW w:w="5220" w:type="dxa"/>
            <w:vAlign w:val="bottom"/>
            <w:tcBorders>
              <w:bottom w:val="single" w:sz="8" w:color="BFBFBF"/>
            </w:tcBorders>
          </w:tcPr>
          <w:p>
            <w:pPr>
              <w:ind w:left="360"/>
              <w:spacing w:after="0"/>
              <w:rPr>
                <w:sz w:val="20"/>
                <w:szCs w:val="20"/>
                <w:color w:val="auto"/>
              </w:rPr>
            </w:pPr>
            <w:r>
              <w:rPr>
                <w:rFonts w:ascii="Arial" w:cs="Arial" w:eastAsia="Arial" w:hAnsi="Arial"/>
                <w:sz w:val="18"/>
                <w:szCs w:val="18"/>
                <w:color w:val="auto"/>
              </w:rPr>
              <w:t>Total audit and audit-related fees</w:t>
            </w:r>
          </w:p>
        </w:tc>
        <w:tc>
          <w:tcPr>
            <w:tcW w:w="2500" w:type="dxa"/>
            <w:vAlign w:val="bottom"/>
            <w:tcBorders>
              <w:bottom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1320" w:type="dxa"/>
            <w:vAlign w:val="bottom"/>
            <w:tcBorders>
              <w:bottom w:val="single" w:sz="8" w:color="BFBFBF"/>
            </w:tcBorders>
          </w:tcPr>
          <w:p>
            <w:pPr>
              <w:jc w:val="right"/>
              <w:ind w:right="39"/>
              <w:spacing w:after="0"/>
              <w:rPr>
                <w:sz w:val="20"/>
                <w:szCs w:val="20"/>
                <w:color w:val="auto"/>
              </w:rPr>
            </w:pPr>
            <w:r>
              <w:rPr>
                <w:rFonts w:ascii="Arial" w:cs="Arial" w:eastAsia="Arial" w:hAnsi="Arial"/>
                <w:sz w:val="16"/>
                <w:szCs w:val="16"/>
                <w:color w:val="auto"/>
              </w:rPr>
              <w:t>1,987,343</w:t>
            </w:r>
          </w:p>
        </w:tc>
        <w:tc>
          <w:tcPr>
            <w:tcW w:w="180" w:type="dxa"/>
            <w:vAlign w:val="bottom"/>
            <w:tcBorders>
              <w:bottom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1340" w:type="dxa"/>
            <w:vAlign w:val="bottom"/>
            <w:tcBorders>
              <w:bottom w:val="single" w:sz="8" w:color="BFBFBF"/>
            </w:tcBorders>
          </w:tcPr>
          <w:p>
            <w:pPr>
              <w:jc w:val="right"/>
              <w:ind w:right="59"/>
              <w:spacing w:after="0"/>
              <w:rPr>
                <w:sz w:val="20"/>
                <w:szCs w:val="20"/>
                <w:color w:val="auto"/>
              </w:rPr>
            </w:pPr>
            <w:r>
              <w:rPr>
                <w:rFonts w:ascii="Arial" w:cs="Arial" w:eastAsia="Arial" w:hAnsi="Arial"/>
                <w:sz w:val="16"/>
                <w:szCs w:val="16"/>
                <w:color w:val="auto"/>
              </w:rPr>
              <w:t>2,345,477</w:t>
            </w:r>
          </w:p>
        </w:tc>
      </w:tr>
      <w:tr>
        <w:trPr>
          <w:trHeight w:val="223"/>
        </w:trPr>
        <w:tc>
          <w:tcPr>
            <w:tcW w:w="5220" w:type="dxa"/>
            <w:vAlign w:val="bottom"/>
            <w:tcBorders>
              <w:bottom w:val="single" w:sz="8" w:color="BFBFBF"/>
            </w:tcBorders>
            <w:shd w:val="clear" w:color="auto" w:fill="F2F2F2"/>
          </w:tcPr>
          <w:p>
            <w:pPr>
              <w:ind w:left="140"/>
              <w:spacing w:after="0"/>
              <w:rPr>
                <w:sz w:val="20"/>
                <w:szCs w:val="20"/>
                <w:color w:val="auto"/>
              </w:rPr>
            </w:pPr>
            <w:r>
              <w:rPr>
                <w:rFonts w:ascii="Arial" w:cs="Arial" w:eastAsia="Arial" w:hAnsi="Arial"/>
                <w:sz w:val="18"/>
                <w:szCs w:val="18"/>
                <w:color w:val="auto"/>
              </w:rPr>
              <w:t>Tax fees</w:t>
            </w:r>
          </w:p>
        </w:tc>
        <w:tc>
          <w:tcPr>
            <w:tcW w:w="2500" w:type="dxa"/>
            <w:vAlign w:val="bottom"/>
            <w:tcBorders>
              <w:bottom w:val="single" w:sz="8" w:color="BFBFBF"/>
            </w:tcBorders>
            <w:shd w:val="clear" w:color="auto" w:fill="F2F2F2"/>
          </w:tcPr>
          <w:p>
            <w:pPr>
              <w:spacing w:after="0"/>
              <w:rPr>
                <w:sz w:val="19"/>
                <w:szCs w:val="19"/>
                <w:color w:val="auto"/>
              </w:rPr>
            </w:pPr>
          </w:p>
        </w:tc>
        <w:tc>
          <w:tcPr>
            <w:tcW w:w="340" w:type="dxa"/>
            <w:vAlign w:val="bottom"/>
            <w:tcBorders>
              <w:bottom w:val="single" w:sz="8" w:color="auto"/>
            </w:tcBorders>
            <w:shd w:val="clear" w:color="auto" w:fill="F2F2F2"/>
          </w:tcPr>
          <w:p>
            <w:pPr>
              <w:spacing w:after="0"/>
              <w:rPr>
                <w:sz w:val="19"/>
                <w:szCs w:val="19"/>
                <w:color w:val="auto"/>
              </w:rPr>
            </w:pPr>
          </w:p>
        </w:tc>
        <w:tc>
          <w:tcPr>
            <w:tcW w:w="132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FBFBF"/>
            </w:tcBorders>
            <w:shd w:val="clear" w:color="auto" w:fill="F2F2F2"/>
          </w:tcPr>
          <w:p>
            <w:pPr>
              <w:spacing w:after="0"/>
              <w:rPr>
                <w:sz w:val="19"/>
                <w:szCs w:val="19"/>
                <w:color w:val="auto"/>
              </w:rPr>
            </w:pPr>
          </w:p>
        </w:tc>
        <w:tc>
          <w:tcPr>
            <w:tcW w:w="340" w:type="dxa"/>
            <w:vAlign w:val="bottom"/>
            <w:tcBorders>
              <w:bottom w:val="single" w:sz="8" w:color="auto"/>
            </w:tcBorders>
            <w:shd w:val="clear" w:color="auto" w:fill="F2F2F2"/>
          </w:tcPr>
          <w:p>
            <w:pPr>
              <w:spacing w:after="0"/>
              <w:rPr>
                <w:sz w:val="19"/>
                <w:szCs w:val="19"/>
                <w:color w:val="auto"/>
              </w:rPr>
            </w:pPr>
          </w:p>
        </w:tc>
        <w:tc>
          <w:tcPr>
            <w:tcW w:w="134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5220" w:type="dxa"/>
            <w:vAlign w:val="bottom"/>
          </w:tcPr>
          <w:p>
            <w:pPr>
              <w:ind w:left="360"/>
              <w:spacing w:after="0"/>
              <w:rPr>
                <w:sz w:val="20"/>
                <w:szCs w:val="20"/>
                <w:color w:val="auto"/>
              </w:rPr>
            </w:pPr>
            <w:r>
              <w:rPr>
                <w:rFonts w:ascii="Arial" w:cs="Arial" w:eastAsia="Arial" w:hAnsi="Arial"/>
                <w:sz w:val="18"/>
                <w:szCs w:val="18"/>
                <w:color w:val="auto"/>
              </w:rPr>
              <w:t>Total fees</w:t>
            </w:r>
          </w:p>
        </w:tc>
        <w:tc>
          <w:tcPr>
            <w:tcW w:w="2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1,987,343</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2,345,477</w:t>
            </w:r>
          </w:p>
        </w:tc>
      </w:tr>
      <w:tr>
        <w:trPr>
          <w:trHeight w:val="28"/>
        </w:trPr>
        <w:tc>
          <w:tcPr>
            <w:tcW w:w="5220" w:type="dxa"/>
            <w:vAlign w:val="bottom"/>
            <w:tcBorders>
              <w:top w:val="single" w:sz="8" w:color="BFBFBF"/>
            </w:tcBorders>
            <w:shd w:val="clear" w:color="auto" w:fill="BFBFBF"/>
          </w:tcPr>
          <w:p>
            <w:pPr>
              <w:spacing w:after="0"/>
              <w:rPr>
                <w:sz w:val="2"/>
                <w:szCs w:val="2"/>
                <w:color w:val="auto"/>
              </w:rPr>
            </w:pPr>
          </w:p>
        </w:tc>
        <w:tc>
          <w:tcPr>
            <w:tcW w:w="2500" w:type="dxa"/>
            <w:vAlign w:val="bottom"/>
            <w:tcBorders>
              <w:top w:val="single" w:sz="8" w:color="BFBFBF"/>
            </w:tcBorders>
            <w:shd w:val="clear" w:color="auto" w:fill="BFBFB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13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BFBFBF"/>
            </w:tcBorders>
            <w:shd w:val="clear" w:color="auto" w:fill="BFBFB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Provided by Deloitte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services provided by Deloitte are permissible under applicable laws and regulations. The Company has adopted policies and procedures for pre-approval of services by Deloitte. The fees paid to Deloitte shown in the table above were all pre-approved in accordance with these procedures and include: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 These are fees for professional services performed by Deloitte for the audit of the Company and certain subsidiary companies,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the Company’s quarterly 10-Q filings, and services that are normally provided in connection with statutory and regulatory filings or engagements.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These are fees for assurance and related services performed by Deloitte that are reasonably related to the performance of the audit or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the Company’s financial statements. This includes: due diligence related to mergers and acquisitions; audits and reviews associated with registration statements related to mergers and acquisitions; other attestations by Deloitte, including those that are required by statute, regulation or contract; and consulting on financial accounting/reporting standards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These are fees for professional services performed by Deloitte with respect to tax compliance and tax returns. This includes review of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and amended tax returns for the Company and its consolidated subsidiaries; refund claims, payment planning/tax audit assistance; tax compliance for employee benefit plans; and tax work stemming from “Audit-Related” items.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services are actively monitored (both spending level and work content) by the audit committee to maintain the appropriate objectivity and independence in Deloitte’s core work, which is the audit of the Company’s consolidated financial statements. The committee concluded that Deloitte’s provision of audit and non-audit services to the Company and its affiliates is compatible with Deloitte’s independence.</w:t>
      </w:r>
    </w:p>
    <w:p>
      <w:pPr>
        <w:spacing w:after="0" w:line="292" w:lineRule="exact"/>
        <w:rPr>
          <w:sz w:val="20"/>
          <w:szCs w:val="20"/>
          <w:color w:val="auto"/>
        </w:rPr>
      </w:pPr>
    </w:p>
    <w:p>
      <w:pPr>
        <w:ind w:left="1060" w:right="80" w:hanging="843"/>
        <w:spacing w:after="0" w:line="183" w:lineRule="auto"/>
        <w:tabs>
          <w:tab w:leader="none" w:pos="1060" w:val="left"/>
        </w:tabs>
        <w:numPr>
          <w:ilvl w:val="0"/>
          <w:numId w:val="38"/>
        </w:numPr>
        <w:rPr>
          <w:rFonts w:ascii="MS PGothic" w:cs="MS PGothic" w:eastAsia="MS PGothic" w:hAnsi="MS PGothic"/>
          <w:sz w:val="40"/>
          <w:szCs w:val="40"/>
          <w:color w:val="auto"/>
        </w:rPr>
      </w:pPr>
      <w:r>
        <w:rPr>
          <w:rFonts w:ascii="Arial" w:cs="Arial" w:eastAsia="Arial" w:hAnsi="Arial"/>
          <w:sz w:val="16"/>
          <w:szCs w:val="16"/>
          <w:color w:val="auto"/>
        </w:rPr>
        <w:t>THE BOARD RECOMMENDS A VOTE "</w:t>
      </w:r>
      <w:r>
        <w:rPr>
          <w:rFonts w:ascii="Arial" w:cs="Arial" w:eastAsia="Arial" w:hAnsi="Arial"/>
          <w:sz w:val="16"/>
          <w:szCs w:val="16"/>
          <w:color w:val="0033A0"/>
        </w:rPr>
        <w:t>FOR</w:t>
      </w:r>
      <w:r>
        <w:rPr>
          <w:rFonts w:ascii="Arial" w:cs="Arial" w:eastAsia="Arial" w:hAnsi="Arial"/>
          <w:sz w:val="16"/>
          <w:szCs w:val="16"/>
          <w:color w:val="auto"/>
        </w:rPr>
        <w:t>" THE RATIFICATION OF THE SELECTION OF DELOITTE &amp; TOUCHE LLP AS THE COMPANY’S INDEPENDENT REGISTERED PUBLIC ACCOUNTING FIRM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-341630</wp:posOffset>
            </wp:positionV>
            <wp:extent cx="7123430" cy="4629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234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center"/>
        <w:ind w:left="340" w:right="820"/>
        <w:spacing w:after="0" w:line="255" w:lineRule="auto"/>
        <w:rPr>
          <w:sz w:val="20"/>
          <w:szCs w:val="20"/>
          <w:color w:val="auto"/>
        </w:rPr>
      </w:pPr>
      <w:r>
        <w:rPr>
          <w:rFonts w:ascii="Arial" w:cs="Arial" w:eastAsia="Arial" w:hAnsi="Arial"/>
          <w:sz w:val="29"/>
          <w:szCs w:val="29"/>
          <w:b w:val="1"/>
          <w:bCs w:val="1"/>
          <w:color w:val="0033A0"/>
        </w:rPr>
        <w:t>Proposal 3 Advisory (Non-Binding) Vote to Approve Named Executive Officer Compensation</w:t>
      </w:r>
    </w:p>
    <w:p>
      <w:pPr>
        <w:jc w:val="center"/>
        <w:spacing w:after="0"/>
        <w:rPr>
          <w:sz w:val="20"/>
          <w:szCs w:val="20"/>
          <w:color w:val="auto"/>
        </w:rPr>
      </w:pPr>
      <w:r>
        <w:rPr>
          <w:rFonts w:ascii="Arial" w:cs="Arial" w:eastAsia="Arial" w:hAnsi="Arial"/>
          <w:sz w:val="18"/>
          <w:szCs w:val="18"/>
          <w:color w:val="0033A0"/>
        </w:rPr>
        <w:t>(Item 3 on Proxy Card for Vote by Common Voting Shares only)</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2017 Annual Meeting of Shareholders, the holders of Common Voting Shares approved the Company’s recommendation to have an advisory (non-binding) vote to approve named executive officer compensation (a so-called “say-on-pay” vote) on an annual basis. The advisory vote is a non-binding vote on the compensation of the Company’s “named executive officers,” as described in the Compensation Discussion and Analysis section, the tabular disclosure regarding such compensation, and the accompanying narrative disclosure, set forth in this Proxy Statement.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vote under this Proposal 3 is advisory, and therefore not binding on the Company, the Board or our compensation committee. However, our Board, including our compensation committee, values the opinions of our shareholders and, to the extent there is any significant vote against the executive officer compensation as disclosed in this Proxy Statement, will consider our shareholders’ concerns and evaluate what actions may be appropriate to address those concerns.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Voting Shares will be asked at the Annual Meeting to approve the following resolution pursuant to this Proposal 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RESOLVED, that the holders of the Common Voting Shares of the Company approve, on an advisory basis, the compensation of the Company’s named executive officers, as such compensation is described in the Compensation Discussion and Analysis section, the tabular disclosure regarding such compensation, and the accompanying narrative disclosure and related material, set forth in the Company’s definitive Proxy Statement for the Annual Meeting.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Approval of this Proposal requires the affirmative vote of a majority of the votes cast in person or by proxy of the Common Voting Shares represented and entitled to vote at the Annual Meeting. </w:t>
      </w:r>
      <w:r>
        <w:rPr>
          <w:rFonts w:ascii="Arial" w:cs="Arial" w:eastAsia="Arial" w:hAnsi="Arial"/>
          <w:sz w:val="18"/>
          <w:szCs w:val="18"/>
          <w:b w:val="1"/>
          <w:bCs w:val="1"/>
          <w:color w:val="auto"/>
        </w:rPr>
        <w:t>The Board recommends that holders of such shares vote FOR the approval of Proposal 3</w:t>
      </w:r>
      <w:r>
        <w:rPr>
          <w:rFonts w:ascii="Arial" w:cs="Arial" w:eastAsia="Arial" w:hAnsi="Arial"/>
          <w:sz w:val="18"/>
          <w:szCs w:val="18"/>
          <w:color w:val="auto"/>
        </w:rPr>
        <w:t>. Proxies for Common Voting Shares solicited by the Board will be voted FOR Proposal 3 unless shareholders specify a contrary choice in their proxies. Broker non-votes will not be treated as votes cast and will not have a positive or negative effect on the outcome of Proposal 3. Abstentions will be treated as votes cast and, consequently, will have the same effect as votes against Proposal 3.</w:t>
      </w:r>
    </w:p>
    <w:p>
      <w:pPr>
        <w:spacing w:after="0" w:line="56" w:lineRule="exact"/>
        <w:rPr>
          <w:sz w:val="20"/>
          <w:szCs w:val="20"/>
          <w:color w:val="auto"/>
        </w:rPr>
      </w:pPr>
    </w:p>
    <w:p>
      <w:pPr>
        <w:ind w:left="1060" w:hanging="843"/>
        <w:spacing w:after="0"/>
        <w:tabs>
          <w:tab w:leader="none" w:pos="1060" w:val="left"/>
        </w:tabs>
        <w:numPr>
          <w:ilvl w:val="0"/>
          <w:numId w:val="39"/>
        </w:numPr>
        <w:rPr>
          <w:rFonts w:ascii="MS PGothic" w:cs="MS PGothic" w:eastAsia="MS PGothic" w:hAnsi="MS PGothic"/>
          <w:sz w:val="47"/>
          <w:szCs w:val="47"/>
          <w:color w:val="auto"/>
        </w:rPr>
      </w:pPr>
      <w:r>
        <w:rPr>
          <w:rFonts w:ascii="Arial" w:cs="Arial" w:eastAsia="Arial" w:hAnsi="Arial"/>
          <w:sz w:val="18"/>
          <w:szCs w:val="18"/>
          <w:color w:val="auto"/>
        </w:rPr>
        <w:t>THE BOARD RECOMMENDS A VOTE "</w:t>
      </w:r>
      <w:r>
        <w:rPr>
          <w:rFonts w:ascii="Arial" w:cs="Arial" w:eastAsia="Arial" w:hAnsi="Arial"/>
          <w:sz w:val="18"/>
          <w:szCs w:val="18"/>
          <w:color w:val="0033A0"/>
        </w:rPr>
        <w:t>FOR</w:t>
      </w:r>
      <w:r>
        <w:rPr>
          <w:rFonts w:ascii="Arial" w:cs="Arial" w:eastAsia="Arial" w:hAnsi="Arial"/>
          <w:sz w:val="18"/>
          <w:szCs w:val="18"/>
          <w:color w:val="auto"/>
        </w:rPr>
        <w:t>" THE APPROVAL OF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-205105</wp:posOffset>
            </wp:positionV>
            <wp:extent cx="7123430" cy="4629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234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2" w:name="page63"/>
    <w:bookmarkEnd w:id="62"/>
    <w:p>
      <w:pPr>
        <w:jc w:val="center"/>
        <w:spacing w:after="0" w:line="255" w:lineRule="auto"/>
        <w:rPr>
          <w:sz w:val="20"/>
          <w:szCs w:val="20"/>
          <w:color w:val="auto"/>
        </w:rPr>
      </w:pPr>
      <w:r>
        <w:rPr>
          <w:rFonts w:ascii="Arial" w:cs="Arial" w:eastAsia="Arial" w:hAnsi="Arial"/>
          <w:sz w:val="29"/>
          <w:szCs w:val="29"/>
          <w:b w:val="1"/>
          <w:bCs w:val="1"/>
          <w:color w:val="0033A0"/>
        </w:rPr>
        <w:t>Proposal 4 to Approve an Amendment to The E.W. Scripps Company 2010 Long-Term Incentive Plan</w:t>
      </w:r>
    </w:p>
    <w:p>
      <w:pPr>
        <w:jc w:val="center"/>
        <w:spacing w:after="0"/>
        <w:rPr>
          <w:sz w:val="20"/>
          <w:szCs w:val="20"/>
          <w:color w:val="auto"/>
        </w:rPr>
      </w:pPr>
      <w:r>
        <w:rPr>
          <w:rFonts w:ascii="Arial" w:cs="Arial" w:eastAsia="Arial" w:hAnsi="Arial"/>
          <w:sz w:val="18"/>
          <w:szCs w:val="18"/>
          <w:color w:val="0033A0"/>
        </w:rPr>
        <w:t>(Item 4 on Proxy Card for Vote by Common Voting Shares only)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 asking the holders of our Common Voting Shares to approve an amendment to The E.W. Scripps Company 2010 Long-Term Incentive Plan (the “Plan”), in order to increase the number of Class A Common Shares (the “Shares”) available for equity awards under the Plan by 4,000,000 Shares.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material terms of the Plan is provided below and the complete text of the Plan is attached as an Appendix to this proxy statement. The following summary of the Plan does not purport to be complete and is qualified in its entirety by reference to said Appendix.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was initially approved by the holders of our Common Voting Shares on May 13, 2010. At that time, 3,000,000 Shares were reserved for issuance under the Plan. The Plan was amended and restated by the Board as of February 24, 2015 and approved by the holders of the Common Voting Shares on May 4, 2015, to among other things, reserve an additional 1,000,000 Shares for issuance under the Plan. The Plan subsequently was amended and restated by the Board as of February 26, 2019 and approved by the holders of the Common Voting Shares on May 6, 2019, to among other things, reserve an additional 3,000,000 Shares for issuance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 for Additional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believes that the future success of the Company depends, in large part, on our ability to attract, motivate and retain high-caliber employees and directors. Equity compensation is a key component of our compensation program because it helps us attract, motivate and retain talented employees and directors and align their interests with those of our shareholders.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5, 2021, and excluding the proposed Share increase, 2,368,622 Shares remained available for issuance or delivery under the Plan. Based on our historical grant practices, our acquisition of Ion Media, and our projected recruiting and retention needs, we anticipate that the Company will deplete the remaining Share reserve by the end of calendar year 2024 unless we reserve more Shares for issuance under the Plan.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maintain the flexibility to keep pace with our competitors and effectively attract, motivate and retain the high-caliber employees and directors, the Board adopted an amendment to the Plan as of February 23, 2021 (the “Amendment”), subject to approval by the holders of our Common Voting Shares at the Annual Meeting, to increase the Share reserve by an additional 4,000,000 Shares. If the Amendment is approved by the holders of our Common Voting Shares, a total of 6,368,622 Shares will be available under the Plan for future equity awards. We expect that the Shares authorized for issuance under the Plan will meet the Company’s equity compensation needs, including for its employee stock purchase program, through the end of the calendar year 2024.</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Without approval of the additional Shares under the Plan by the holders of Common Voting Shares, we may be required to increase the cash components of our compensation program, which would significantly inhibit our ability to attract, motivate and retain high-caliber employees and directors in a competitive marketplace and align their interests with those of our shareholders.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the number of additional Shares to reserve for issuance under the Plan, our Board considered the number of Shares available for future awards, our average burn rate, the potential dilution resulting from the proposed increase, equity plan guidelines established by certain proxy advisory firms, and advice provided by the Compensation Committee’s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Burn Rate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use our burn rate to measure the potential life expectancy of our equity plan and shareholder dilution. Our burn rate experience is summarized in the table below, which provides data on our Share usage under our employee and non-employee director compensation programs for the last three completed fiscal years.</w:t>
      </w:r>
    </w:p>
    <w:p>
      <w:pPr>
        <w:spacing w:after="0" w:line="286" w:lineRule="exact"/>
        <w:rPr>
          <w:sz w:val="20"/>
          <w:szCs w:val="20"/>
          <w:color w:val="auto"/>
        </w:rPr>
      </w:pPr>
    </w:p>
    <w:tbl>
      <w:tblPr>
        <w:tblLayout w:type="fixed"/>
        <w:tblInd w:w="510" w:type="dxa"/>
        <w:tblCellMar>
          <w:top w:w="0" w:type="dxa"/>
          <w:left w:w="0" w:type="dxa"/>
          <w:bottom w:w="0" w:type="dxa"/>
          <w:right w:w="0" w:type="dxa"/>
        </w:tblCellMar>
      </w:tblPr>
      <w:tr>
        <w:trPr>
          <w:trHeight w:val="535"/>
        </w:trPr>
        <w:tc>
          <w:tcPr>
            <w:tcW w:w="1680" w:type="dxa"/>
            <w:vAlign w:val="bottom"/>
            <w:tcBorders>
              <w:top w:val="single" w:sz="8" w:color="auto"/>
              <w:left w:val="single" w:sz="8" w:color="auto"/>
              <w:right w:val="single" w:sz="8" w:color="auto"/>
            </w:tcBorders>
            <w:vMerge w:val="restart"/>
            <w:shd w:val="clear" w:color="auto" w:fill="E6E6E6"/>
          </w:tcPr>
          <w:p>
            <w:pPr>
              <w:ind w:left="420"/>
              <w:spacing w:after="0"/>
              <w:rPr>
                <w:sz w:val="20"/>
                <w:szCs w:val="20"/>
                <w:color w:val="auto"/>
              </w:rPr>
            </w:pPr>
            <w:r>
              <w:rPr>
                <w:rFonts w:ascii="Arial" w:cs="Arial" w:eastAsia="Arial" w:hAnsi="Arial"/>
                <w:sz w:val="18"/>
                <w:szCs w:val="18"/>
                <w:b w:val="1"/>
                <w:bCs w:val="1"/>
                <w:color w:val="auto"/>
              </w:rPr>
              <w:t>Fiscal Year</w:t>
            </w:r>
          </w:p>
        </w:tc>
        <w:tc>
          <w:tcPr>
            <w:tcW w:w="216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0"/>
              </w:rPr>
              <w:t>Time-Based</w:t>
            </w:r>
          </w:p>
        </w:tc>
        <w:tc>
          <w:tcPr>
            <w:tcW w:w="232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9"/>
              </w:rPr>
              <w:t>Performance-Based</w:t>
            </w:r>
          </w:p>
        </w:tc>
        <w:tc>
          <w:tcPr>
            <w:tcW w:w="242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700" w:type="dxa"/>
            <w:vAlign w:val="bottom"/>
            <w:tcBorders>
              <w:top w:val="single" w:sz="8" w:color="auto"/>
              <w:right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80" w:type="dxa"/>
            <w:vAlign w:val="bottom"/>
            <w:tcBorders>
              <w:left w:val="single" w:sz="8" w:color="auto"/>
              <w:right w:val="single" w:sz="8" w:color="auto"/>
            </w:tcBorders>
            <w:vMerge w:val="continue"/>
            <w:shd w:val="clear" w:color="auto" w:fill="E6E6E6"/>
          </w:tcPr>
          <w:p>
            <w:pPr>
              <w:spacing w:after="0"/>
              <w:rPr>
                <w:sz w:val="13"/>
                <w:szCs w:val="13"/>
                <w:color w:val="auto"/>
              </w:rPr>
            </w:pPr>
          </w:p>
        </w:tc>
        <w:tc>
          <w:tcPr>
            <w:tcW w:w="216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3"/>
              </w:rPr>
              <w:t>RSUs Granted</w:t>
            </w:r>
          </w:p>
        </w:tc>
        <w:tc>
          <w:tcPr>
            <w:tcW w:w="232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RSUs Earned</w:t>
            </w:r>
          </w:p>
        </w:tc>
        <w:tc>
          <w:tcPr>
            <w:tcW w:w="242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88"/>
              </w:rPr>
              <w:t>Shares Outstanding</w:t>
            </w:r>
          </w:p>
        </w:tc>
        <w:tc>
          <w:tcPr>
            <w:tcW w:w="170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5"/>
              </w:rPr>
              <w:t>Burn Rate</w:t>
            </w:r>
          </w:p>
        </w:tc>
        <w:tc>
          <w:tcPr>
            <w:tcW w:w="0" w:type="dxa"/>
            <w:vAlign w:val="bottom"/>
          </w:tcPr>
          <w:p>
            <w:pPr>
              <w:spacing w:after="0"/>
              <w:rPr>
                <w:sz w:val="1"/>
                <w:szCs w:val="1"/>
                <w:color w:val="auto"/>
              </w:rPr>
            </w:pPr>
          </w:p>
        </w:tc>
      </w:tr>
      <w:tr>
        <w:trPr>
          <w:trHeight w:val="81"/>
        </w:trPr>
        <w:tc>
          <w:tcPr>
            <w:tcW w:w="1680" w:type="dxa"/>
            <w:vAlign w:val="bottom"/>
            <w:tcBorders>
              <w:left w:val="single" w:sz="8" w:color="auto"/>
              <w:bottom w:val="single" w:sz="8" w:color="auto"/>
              <w:right w:val="single" w:sz="8" w:color="auto"/>
            </w:tcBorders>
            <w:shd w:val="clear" w:color="auto" w:fill="E6E6E6"/>
          </w:tcPr>
          <w:p>
            <w:pPr>
              <w:spacing w:after="0"/>
              <w:rPr>
                <w:sz w:val="7"/>
                <w:szCs w:val="7"/>
                <w:color w:val="auto"/>
              </w:rPr>
            </w:pPr>
          </w:p>
        </w:tc>
        <w:tc>
          <w:tcPr>
            <w:tcW w:w="2160" w:type="dxa"/>
            <w:vAlign w:val="bottom"/>
            <w:tcBorders>
              <w:bottom w:val="single" w:sz="8" w:color="auto"/>
              <w:right w:val="single" w:sz="8" w:color="auto"/>
            </w:tcBorders>
            <w:vMerge w:val="continue"/>
            <w:shd w:val="clear" w:color="auto" w:fill="E6E6E6"/>
          </w:tcPr>
          <w:p>
            <w:pPr>
              <w:spacing w:after="0"/>
              <w:rPr>
                <w:sz w:val="7"/>
                <w:szCs w:val="7"/>
                <w:color w:val="auto"/>
              </w:rPr>
            </w:pPr>
          </w:p>
        </w:tc>
        <w:tc>
          <w:tcPr>
            <w:tcW w:w="2320" w:type="dxa"/>
            <w:vAlign w:val="bottom"/>
            <w:tcBorders>
              <w:bottom w:val="single" w:sz="8" w:color="auto"/>
              <w:right w:val="single" w:sz="8" w:color="auto"/>
            </w:tcBorders>
            <w:vMerge w:val="continue"/>
            <w:shd w:val="clear" w:color="auto" w:fill="E6E6E6"/>
          </w:tcPr>
          <w:p>
            <w:pPr>
              <w:spacing w:after="0"/>
              <w:rPr>
                <w:sz w:val="7"/>
                <w:szCs w:val="7"/>
                <w:color w:val="auto"/>
              </w:rPr>
            </w:pPr>
          </w:p>
        </w:tc>
        <w:tc>
          <w:tcPr>
            <w:tcW w:w="2420" w:type="dxa"/>
            <w:vAlign w:val="bottom"/>
            <w:tcBorders>
              <w:bottom w:val="single" w:sz="8" w:color="auto"/>
              <w:right w:val="single" w:sz="8" w:color="auto"/>
            </w:tcBorders>
            <w:vMerge w:val="continue"/>
            <w:shd w:val="clear" w:color="auto" w:fill="E6E6E6"/>
          </w:tcPr>
          <w:p>
            <w:pPr>
              <w:spacing w:after="0"/>
              <w:rPr>
                <w:sz w:val="7"/>
                <w:szCs w:val="7"/>
                <w:color w:val="auto"/>
              </w:rPr>
            </w:pPr>
          </w:p>
        </w:tc>
        <w:tc>
          <w:tcPr>
            <w:tcW w:w="1700" w:type="dxa"/>
            <w:vAlign w:val="bottom"/>
            <w:tcBorders>
              <w:bottom w:val="single" w:sz="8" w:color="auto"/>
              <w:right w:val="single" w:sz="8" w:color="auto"/>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2020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947,121</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306,344</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69,484,930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1.8%</w:t>
            </w:r>
          </w:p>
        </w:tc>
        <w:tc>
          <w:tcPr>
            <w:tcW w:w="0" w:type="dxa"/>
            <w:vAlign w:val="bottom"/>
          </w:tcPr>
          <w:p>
            <w:pPr>
              <w:spacing w:after="0"/>
              <w:rPr>
                <w:sz w:val="1"/>
                <w:szCs w:val="1"/>
                <w:color w:val="auto"/>
              </w:rPr>
            </w:pPr>
          </w:p>
        </w:tc>
      </w:tr>
      <w:tr>
        <w:trPr>
          <w:trHeight w:val="318"/>
        </w:trPr>
        <w:tc>
          <w:tcPr>
            <w:tcW w:w="1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2019</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441,291</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325,558</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68,892,899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318"/>
        </w:trPr>
        <w:tc>
          <w:tcPr>
            <w:tcW w:w="1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2018</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533,314</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214,669</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69,436,739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318"/>
        </w:trPr>
        <w:tc>
          <w:tcPr>
            <w:tcW w:w="3840" w:type="dxa"/>
            <w:vAlign w:val="bottom"/>
            <w:tcBorders>
              <w:left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3-year Average Burn Rate (2018-2020)</w:t>
            </w:r>
          </w:p>
        </w:tc>
        <w:tc>
          <w:tcPr>
            <w:tcW w:w="23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burn rate is calculated as the total amount of equity granted in any year, divided by the weighted average number of Shares outstanding. For purposes of this calculation (i) time-based restricted share unit awards were counted in the year granted, and (ii) performance-based restricted share unit awards were counted in the year earned (and only to the extent earned). Our future burn rate will depend on a number of factors, including the number of participants in the Plan, our stock price, changes to our compensation strategy, changes in business practices or industry standards, changes in our capital structure due to stock splits or similar events, the compensation practices of our competitors or changes in compensation practices in the market generally, and the methodology used to establish the equity award mix.</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and Overhang</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measure the dilutive impact of our equity program (the so-called overhang) by dividing the number of Shares subject to outstanding equity awards plus the number of Shares available to be granted (the “Numerator”), by the total Shares outstanding plus Shares included in the Numerator. As of March 5, 2021, our fully diluted overhang was approximately 5.3 percent. The 4,000,000 additional Shares being requested under the Plan would bring our fully diluted overhang to approximately 9.4 percent.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 of the key features of the Plan are highlighted below and are more fully described below under the heading “Summary of the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300" w:type="dxa"/>
            <w:vAlign w:val="bottom"/>
            <w:shd w:val="clear" w:color="auto" w:fill="D9D9D9"/>
          </w:tcPr>
          <w:p>
            <w:pPr>
              <w:ind w:left="2440"/>
              <w:spacing w:after="0"/>
              <w:rPr>
                <w:sz w:val="20"/>
                <w:szCs w:val="20"/>
                <w:color w:val="auto"/>
              </w:rPr>
            </w:pPr>
            <w:r>
              <w:rPr>
                <w:rFonts w:ascii="Arial" w:cs="Arial" w:eastAsia="Arial" w:hAnsi="Arial"/>
                <w:sz w:val="18"/>
                <w:szCs w:val="18"/>
                <w:b w:val="1"/>
                <w:bCs w:val="1"/>
                <w:color w:val="auto"/>
              </w:rPr>
              <w:t>Feature</w:t>
            </w:r>
          </w:p>
        </w:tc>
        <w:tc>
          <w:tcPr>
            <w:tcW w:w="5180" w:type="dxa"/>
            <w:vAlign w:val="bottom"/>
            <w:shd w:val="clear" w:color="auto" w:fill="D9D9D9"/>
          </w:tcPr>
          <w:p>
            <w:pPr>
              <w:ind w:left="366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shd w:val="clear" w:color="auto" w:fill="D9D9D9"/>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D9D9D9"/>
          </w:tcPr>
          <w:p>
            <w:pPr>
              <w:spacing w:after="0"/>
              <w:rPr>
                <w:sz w:val="17"/>
                <w:szCs w:val="17"/>
                <w:color w:val="auto"/>
              </w:rPr>
            </w:pPr>
          </w:p>
        </w:tc>
        <w:tc>
          <w:tcPr>
            <w:tcW w:w="6940" w:type="dxa"/>
            <w:vAlign w:val="bottom"/>
            <w:gridSpan w:val="2"/>
            <w:shd w:val="clear" w:color="auto" w:fill="D9D9D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00" w:type="dxa"/>
            <w:vAlign w:val="bottom"/>
          </w:tcPr>
          <w:p>
            <w:pPr>
              <w:spacing w:after="0"/>
              <w:rPr>
                <w:sz w:val="20"/>
                <w:szCs w:val="20"/>
                <w:color w:val="auto"/>
              </w:rPr>
            </w:pPr>
            <w:r>
              <w:rPr>
                <w:rFonts w:ascii="Arial" w:cs="Arial" w:eastAsia="Arial" w:hAnsi="Arial"/>
                <w:sz w:val="18"/>
                <w:szCs w:val="18"/>
                <w:b w:val="1"/>
                <w:bCs w:val="1"/>
                <w:color w:val="auto"/>
              </w:rPr>
              <w:t>Annual Limit on Awards to Directors</w:t>
            </w:r>
          </w:p>
        </w:tc>
        <w:tc>
          <w:tcPr>
            <w:tcW w:w="6940" w:type="dxa"/>
            <w:vAlign w:val="bottom"/>
            <w:gridSpan w:val="2"/>
          </w:tcPr>
          <w:p>
            <w:pPr>
              <w:ind w:left="1280"/>
              <w:spacing w:after="0"/>
              <w:rPr>
                <w:sz w:val="20"/>
                <w:szCs w:val="20"/>
                <w:color w:val="auto"/>
              </w:rPr>
            </w:pPr>
            <w:r>
              <w:rPr>
                <w:rFonts w:ascii="Arial" w:cs="Arial" w:eastAsia="Arial" w:hAnsi="Arial"/>
                <w:sz w:val="18"/>
                <w:szCs w:val="18"/>
                <w:color w:val="auto"/>
                <w:w w:val="90"/>
              </w:rPr>
              <w:t>The Plan limits the aggregate grant date fair value of all awards granted to any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6960" w:type="dxa"/>
            <w:vAlign w:val="bottom"/>
            <w:gridSpan w:val="3"/>
          </w:tcPr>
          <w:p>
            <w:pPr>
              <w:ind w:left="1280"/>
              <w:spacing w:after="0"/>
              <w:rPr>
                <w:sz w:val="20"/>
                <w:szCs w:val="20"/>
                <w:color w:val="auto"/>
              </w:rPr>
            </w:pPr>
            <w:r>
              <w:rPr>
                <w:rFonts w:ascii="Arial" w:cs="Arial" w:eastAsia="Arial" w:hAnsi="Arial"/>
                <w:sz w:val="18"/>
                <w:szCs w:val="18"/>
                <w:color w:val="auto"/>
                <w:w w:val="99"/>
              </w:rPr>
              <w:t>non-employee director during any single calendar year for services as 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6960" w:type="dxa"/>
            <w:vAlign w:val="bottom"/>
            <w:gridSpan w:val="3"/>
          </w:tcPr>
          <w:p>
            <w:pPr>
              <w:ind w:left="1280"/>
              <w:spacing w:after="0"/>
              <w:rPr>
                <w:sz w:val="20"/>
                <w:szCs w:val="20"/>
                <w:color w:val="auto"/>
              </w:rPr>
            </w:pPr>
            <w:r>
              <w:rPr>
                <w:rFonts w:ascii="Arial" w:cs="Arial" w:eastAsia="Arial" w:hAnsi="Arial"/>
                <w:sz w:val="18"/>
                <w:szCs w:val="18"/>
                <w:color w:val="auto"/>
                <w:w w:val="93"/>
              </w:rPr>
              <w:t>director (excluding awards made at the election of the director in lieu of all or</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6960" w:type="dxa"/>
            <w:vAlign w:val="bottom"/>
            <w:gridSpan w:val="3"/>
          </w:tcPr>
          <w:p>
            <w:pPr>
              <w:ind w:left="1280"/>
              <w:spacing w:after="0"/>
              <w:rPr>
                <w:sz w:val="20"/>
                <w:szCs w:val="20"/>
                <w:color w:val="auto"/>
              </w:rPr>
            </w:pPr>
            <w:r>
              <w:rPr>
                <w:rFonts w:ascii="Arial" w:cs="Arial" w:eastAsia="Arial" w:hAnsi="Arial"/>
                <w:sz w:val="18"/>
                <w:szCs w:val="18"/>
                <w:color w:val="auto"/>
                <w:w w:val="95"/>
              </w:rPr>
              <w:t>a portion of annual and committee cash retainers), taken together with any</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6960" w:type="dxa"/>
            <w:vAlign w:val="bottom"/>
            <w:gridSpan w:val="3"/>
          </w:tcPr>
          <w:p>
            <w:pPr>
              <w:ind w:left="1280"/>
              <w:spacing w:after="0"/>
              <w:rPr>
                <w:sz w:val="20"/>
                <w:szCs w:val="20"/>
                <w:color w:val="auto"/>
              </w:rPr>
            </w:pPr>
            <w:r>
              <w:rPr>
                <w:rFonts w:ascii="Arial" w:cs="Arial" w:eastAsia="Arial" w:hAnsi="Arial"/>
                <w:sz w:val="18"/>
                <w:szCs w:val="18"/>
                <w:color w:val="auto"/>
                <w:w w:val="96"/>
              </w:rPr>
              <w:t>cash fees paid during such calendar year, to $300,000 with respect to any</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6960" w:type="dxa"/>
            <w:vAlign w:val="bottom"/>
            <w:gridSpan w:val="3"/>
          </w:tcPr>
          <w:p>
            <w:pPr>
              <w:ind w:left="1280"/>
              <w:spacing w:after="0"/>
              <w:rPr>
                <w:sz w:val="20"/>
                <w:szCs w:val="20"/>
                <w:color w:val="auto"/>
              </w:rPr>
            </w:pPr>
            <w:r>
              <w:rPr>
                <w:rFonts w:ascii="Arial" w:cs="Arial" w:eastAsia="Arial" w:hAnsi="Arial"/>
                <w:sz w:val="18"/>
                <w:szCs w:val="18"/>
                <w:color w:val="auto"/>
                <w:w w:val="92"/>
              </w:rPr>
              <w:t>director who is serving in a capacity other than non-executive Chairman, and</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w w:val="93"/>
              </w:rPr>
              <w:t>$500,000 with respect to a non-executive Chairman.</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694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Responsible Share Counting Provisions</w:t>
            </w:r>
          </w:p>
        </w:tc>
        <w:tc>
          <w:tcPr>
            <w:tcW w:w="6940" w:type="dxa"/>
            <w:vAlign w:val="bottom"/>
            <w:gridSpan w:val="2"/>
            <w:shd w:val="clear" w:color="auto" w:fill="F2F2F2"/>
          </w:tcPr>
          <w:p>
            <w:pPr>
              <w:ind w:left="1280"/>
              <w:spacing w:after="0"/>
              <w:rPr>
                <w:sz w:val="20"/>
                <w:szCs w:val="20"/>
                <w:color w:val="auto"/>
              </w:rPr>
            </w:pPr>
            <w:r>
              <w:rPr>
                <w:rFonts w:ascii="Arial" w:cs="Arial" w:eastAsia="Arial" w:hAnsi="Arial"/>
                <w:sz w:val="18"/>
                <w:szCs w:val="18"/>
                <w:color w:val="auto"/>
                <w:w w:val="97"/>
              </w:rPr>
              <w:t>The Plan does not permit “liberal share counting,” which means that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F2F2F2"/>
          </w:tcPr>
          <w:p>
            <w:pPr>
              <w:spacing w:after="0"/>
              <w:rPr>
                <w:sz w:val="18"/>
                <w:szCs w:val="18"/>
                <w:color w:val="auto"/>
              </w:rPr>
            </w:pPr>
          </w:p>
        </w:tc>
        <w:tc>
          <w:tcPr>
            <w:tcW w:w="6940" w:type="dxa"/>
            <w:vAlign w:val="bottom"/>
            <w:gridSpan w:val="2"/>
            <w:shd w:val="clear" w:color="auto" w:fill="F2F2F2"/>
          </w:tcPr>
          <w:p>
            <w:pPr>
              <w:ind w:left="1280"/>
              <w:spacing w:after="0"/>
              <w:rPr>
                <w:sz w:val="20"/>
                <w:szCs w:val="20"/>
                <w:color w:val="auto"/>
              </w:rPr>
            </w:pPr>
            <w:r>
              <w:rPr>
                <w:rFonts w:ascii="Arial" w:cs="Arial" w:eastAsia="Arial" w:hAnsi="Arial"/>
                <w:sz w:val="18"/>
                <w:szCs w:val="18"/>
                <w:color w:val="auto"/>
                <w:w w:val="89"/>
              </w:rPr>
              <w:t>awards that are forfeited, terminated, or which are settled in cash can be added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F2F2F2"/>
          </w:tcPr>
          <w:p>
            <w:pPr>
              <w:spacing w:after="0"/>
              <w:rPr>
                <w:sz w:val="20"/>
                <w:szCs w:val="20"/>
                <w:color w:val="auto"/>
              </w:rPr>
            </w:pPr>
          </w:p>
        </w:tc>
        <w:tc>
          <w:tcPr>
            <w:tcW w:w="5180" w:type="dxa"/>
            <w:vAlign w:val="bottom"/>
            <w:shd w:val="clear" w:color="auto" w:fill="F2F2F2"/>
          </w:tcPr>
          <w:p>
            <w:pPr>
              <w:ind w:left="1280"/>
              <w:spacing w:after="0"/>
              <w:rPr>
                <w:sz w:val="20"/>
                <w:szCs w:val="20"/>
                <w:color w:val="auto"/>
              </w:rPr>
            </w:pPr>
            <w:r>
              <w:rPr>
                <w:rFonts w:ascii="Arial" w:cs="Arial" w:eastAsia="Arial" w:hAnsi="Arial"/>
                <w:sz w:val="18"/>
                <w:szCs w:val="18"/>
                <w:color w:val="auto"/>
              </w:rPr>
              <w:t>back to the Plan’s Share reserve.</w:t>
            </w:r>
          </w:p>
        </w:tc>
        <w:tc>
          <w:tcPr>
            <w:tcW w:w="1760" w:type="dxa"/>
            <w:vAlign w:val="bottom"/>
            <w:shd w:val="clear" w:color="auto" w:fill="F2F2F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F2F2F2"/>
          </w:tcPr>
          <w:p>
            <w:pPr>
              <w:spacing w:after="0"/>
              <w:rPr>
                <w:sz w:val="19"/>
                <w:szCs w:val="19"/>
                <w:color w:val="auto"/>
              </w:rPr>
            </w:pPr>
          </w:p>
        </w:tc>
        <w:tc>
          <w:tcPr>
            <w:tcW w:w="5180" w:type="dxa"/>
            <w:vAlign w:val="bottom"/>
            <w:shd w:val="clear" w:color="auto" w:fill="F2F2F2"/>
          </w:tcPr>
          <w:p>
            <w:pPr>
              <w:spacing w:after="0"/>
              <w:rPr>
                <w:sz w:val="19"/>
                <w:szCs w:val="19"/>
                <w:color w:val="auto"/>
              </w:rPr>
            </w:pPr>
          </w:p>
        </w:tc>
        <w:tc>
          <w:tcPr>
            <w:tcW w:w="1760" w:type="dxa"/>
            <w:vAlign w:val="bottom"/>
            <w:shd w:val="clear" w:color="auto" w:fill="F2F2F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300" w:type="dxa"/>
            <w:vAlign w:val="bottom"/>
            <w:tcBorders>
              <w:bottom w:val="single" w:sz="8" w:color="0033A0"/>
            </w:tcBorders>
          </w:tcPr>
          <w:p>
            <w:pPr>
              <w:spacing w:after="0"/>
              <w:rPr>
                <w:sz w:val="24"/>
                <w:szCs w:val="24"/>
                <w:color w:val="auto"/>
              </w:rPr>
            </w:pPr>
          </w:p>
        </w:tc>
        <w:tc>
          <w:tcPr>
            <w:tcW w:w="5180" w:type="dxa"/>
            <w:vAlign w:val="bottom"/>
            <w:tcBorders>
              <w:bottom w:val="single" w:sz="8" w:color="0033A0"/>
            </w:tcBorders>
          </w:tcPr>
          <w:p>
            <w:pPr>
              <w:spacing w:after="0"/>
              <w:rPr>
                <w:sz w:val="24"/>
                <w:szCs w:val="24"/>
                <w:color w:val="auto"/>
              </w:rPr>
            </w:pPr>
          </w:p>
        </w:tc>
        <w:tc>
          <w:tcPr>
            <w:tcW w:w="1760" w:type="dxa"/>
            <w:vAlign w:val="bottom"/>
            <w:tcBorders>
              <w:bottom w:val="single" w:sz="8" w:color="0033A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00" w:type="dxa"/>
            <w:vAlign w:val="bottom"/>
          </w:tcPr>
          <w:p>
            <w:pPr>
              <w:ind w:left="500"/>
              <w:spacing w:after="0"/>
              <w:rPr>
                <w:sz w:val="20"/>
                <w:szCs w:val="20"/>
                <w:color w:val="auto"/>
              </w:rPr>
            </w:pPr>
            <w:r>
              <w:rPr>
                <w:rFonts w:ascii="Arial" w:cs="Arial" w:eastAsia="Arial" w:hAnsi="Arial"/>
                <w:sz w:val="18"/>
                <w:szCs w:val="18"/>
                <w:color w:val="auto"/>
              </w:rPr>
              <w:t>The E.W. Scripps Company</w:t>
            </w:r>
          </w:p>
        </w:tc>
        <w:tc>
          <w:tcPr>
            <w:tcW w:w="5180" w:type="dxa"/>
            <w:vAlign w:val="bottom"/>
          </w:tcPr>
          <w:p>
            <w:pPr>
              <w:ind w:left="1400"/>
              <w:spacing w:after="0"/>
              <w:rPr>
                <w:sz w:val="20"/>
                <w:szCs w:val="20"/>
                <w:color w:val="auto"/>
              </w:rPr>
            </w:pPr>
            <w:r>
              <w:rPr>
                <w:rFonts w:ascii="Arial" w:cs="Arial" w:eastAsia="Arial" w:hAnsi="Arial"/>
                <w:sz w:val="25"/>
                <w:szCs w:val="25"/>
                <w:b w:val="1"/>
                <w:bCs w:val="1"/>
                <w:color w:val="0033A0"/>
              </w:rPr>
              <w:t>64</w:t>
            </w: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w w:val="89"/>
              </w:rPr>
              <w:t>2020 Proxy Statement</w:t>
            </w:r>
          </w:p>
        </w:tc>
        <w:tc>
          <w:tcPr>
            <w:tcW w:w="0" w:type="dxa"/>
            <w:vAlign w:val="bottom"/>
          </w:tcPr>
          <w:p>
            <w:pPr>
              <w:spacing w:after="0"/>
              <w:rPr>
                <w:sz w:val="1"/>
                <w:szCs w:val="1"/>
                <w:color w:val="auto"/>
              </w:rPr>
            </w:pPr>
          </w:p>
        </w:tc>
      </w:tr>
      <w:tr>
        <w:trPr>
          <w:trHeight w:val="241"/>
        </w:trPr>
        <w:tc>
          <w:tcPr>
            <w:tcW w:w="4300" w:type="dxa"/>
            <w:vAlign w:val="bottom"/>
            <w:tcBorders>
              <w:bottom w:val="single" w:sz="8" w:color="9A9A9A"/>
            </w:tcBorders>
          </w:tcPr>
          <w:p>
            <w:pPr>
              <w:spacing w:after="0"/>
              <w:rPr>
                <w:sz w:val="21"/>
                <w:szCs w:val="21"/>
                <w:color w:val="auto"/>
              </w:rPr>
            </w:pPr>
          </w:p>
        </w:tc>
        <w:tc>
          <w:tcPr>
            <w:tcW w:w="5180" w:type="dxa"/>
            <w:vAlign w:val="bottom"/>
            <w:tcBorders>
              <w:bottom w:val="single" w:sz="8" w:color="9A9A9A"/>
            </w:tcBorders>
          </w:tcPr>
          <w:p>
            <w:pPr>
              <w:spacing w:after="0"/>
              <w:rPr>
                <w:sz w:val="21"/>
                <w:szCs w:val="21"/>
                <w:color w:val="auto"/>
              </w:rPr>
            </w:pPr>
          </w:p>
        </w:tc>
        <w:tc>
          <w:tcPr>
            <w:tcW w:w="176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205740" cy="205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64" w:name="page65"/>
    <w:bookmarkEnd w:id="64"/>
    <w:p>
      <w:pPr>
        <w:spacing w:after="0"/>
        <w:tabs>
          <w:tab w:leader="none" w:pos="5560" w:val="left"/>
        </w:tabs>
        <w:rPr>
          <w:sz w:val="20"/>
          <w:szCs w:val="20"/>
          <w:color w:val="auto"/>
        </w:rPr>
      </w:pPr>
      <w:r>
        <w:rPr>
          <w:rFonts w:ascii="Arial" w:cs="Arial" w:eastAsia="Arial" w:hAnsi="Arial"/>
          <w:sz w:val="18"/>
          <w:szCs w:val="18"/>
          <w:b w:val="1"/>
          <w:bCs w:val="1"/>
          <w:color w:val="auto"/>
        </w:rPr>
        <w:t>Minimum Vesting Requirements</w:t>
      </w:r>
      <w:r>
        <w:rPr>
          <w:sz w:val="20"/>
          <w:szCs w:val="20"/>
          <w:color w:val="auto"/>
        </w:rPr>
        <w:tab/>
      </w:r>
      <w:r>
        <w:rPr>
          <w:rFonts w:ascii="Arial" w:cs="Arial" w:eastAsia="Arial" w:hAnsi="Arial"/>
          <w:sz w:val="16"/>
          <w:szCs w:val="16"/>
          <w:color w:val="auto"/>
        </w:rPr>
        <w:t>Except as otherwise provided in the Plan, equity-based awards granted under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the Plan will be subject to a minimum vesting period of at least one year, with</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an exception for awards covering up to five percent (5%) of the sum of the</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Shares available for issuance as of immediately after the 2019 Annual</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Meeting, plus the additional 4,000,000 Shares subject to the Amendment.</w:t>
      </w:r>
    </w:p>
    <w:p>
      <w:pPr>
        <w:spacing w:after="0" w:line="245" w:lineRule="exact"/>
        <w:rPr>
          <w:sz w:val="20"/>
          <w:szCs w:val="20"/>
          <w:color w:val="auto"/>
        </w:rPr>
      </w:pPr>
    </w:p>
    <w:p>
      <w:pPr>
        <w:jc w:val="right"/>
        <w:spacing w:after="0" w:line="261" w:lineRule="auto"/>
        <w:rPr>
          <w:sz w:val="20"/>
          <w:szCs w:val="20"/>
          <w:color w:val="auto"/>
        </w:rPr>
      </w:pPr>
      <w:r>
        <w:rPr>
          <w:rFonts w:ascii="Arial" w:cs="Arial" w:eastAsia="Arial" w:hAnsi="Arial"/>
          <w:sz w:val="18"/>
          <w:szCs w:val="18"/>
          <w:b w:val="1"/>
          <w:bCs w:val="1"/>
          <w:color w:val="auto"/>
        </w:rPr>
        <w:t xml:space="preserve">No Discounted Stock Options or Stock Appreciation Rights (“SARs”)   </w:t>
      </w:r>
      <w:r>
        <w:rPr>
          <w:rFonts w:ascii="Arial" w:cs="Arial" w:eastAsia="Arial" w:hAnsi="Arial"/>
          <w:sz w:val="18"/>
          <w:szCs w:val="18"/>
          <w:color w:val="auto"/>
        </w:rPr>
        <w:t>The Plan does not permit the use of “discounted” stock options or SARs,</w:t>
      </w:r>
      <w:r>
        <w:rPr>
          <w:rFonts w:ascii="Arial" w:cs="Arial" w:eastAsia="Arial" w:hAnsi="Arial"/>
          <w:sz w:val="18"/>
          <w:szCs w:val="18"/>
          <w:b w:val="1"/>
          <w:bCs w:val="1"/>
          <w:color w:val="auto"/>
        </w:rPr>
        <w:t xml:space="preserve"> </w:t>
      </w:r>
      <w:r>
        <w:rPr>
          <w:rFonts w:ascii="Arial" w:cs="Arial" w:eastAsia="Arial" w:hAnsi="Arial"/>
          <w:sz w:val="18"/>
          <w:szCs w:val="18"/>
          <w:color w:val="auto"/>
        </w:rPr>
        <w:t>which means that such awards may not have an exercise or base price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657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6900" w:type="dxa"/>
            <w:vAlign w:val="bottom"/>
          </w:tcPr>
          <w:p>
            <w:pPr>
              <w:ind w:left="1240"/>
              <w:spacing w:after="0"/>
              <w:rPr>
                <w:sz w:val="20"/>
                <w:szCs w:val="20"/>
                <w:color w:val="auto"/>
              </w:rPr>
            </w:pPr>
            <w:r>
              <w:rPr>
                <w:rFonts w:ascii="Arial" w:cs="Arial" w:eastAsia="Arial" w:hAnsi="Arial"/>
                <w:sz w:val="18"/>
                <w:szCs w:val="18"/>
                <w:color w:val="auto"/>
              </w:rPr>
              <w:t>than the fair market value of a Share on the date of grant.</w:t>
            </w:r>
          </w:p>
        </w:tc>
      </w:tr>
      <w:tr>
        <w:trPr>
          <w:trHeight w:val="430"/>
        </w:trPr>
        <w:tc>
          <w:tcPr>
            <w:tcW w:w="4340" w:type="dxa"/>
            <w:vAlign w:val="bottom"/>
          </w:tcPr>
          <w:p>
            <w:pPr>
              <w:spacing w:after="0"/>
              <w:rPr>
                <w:sz w:val="20"/>
                <w:szCs w:val="20"/>
                <w:color w:val="auto"/>
              </w:rPr>
            </w:pPr>
            <w:r>
              <w:rPr>
                <w:rFonts w:ascii="Arial" w:cs="Arial" w:eastAsia="Arial" w:hAnsi="Arial"/>
                <w:sz w:val="18"/>
                <w:szCs w:val="18"/>
                <w:b w:val="1"/>
                <w:bCs w:val="1"/>
                <w:color w:val="auto"/>
              </w:rPr>
              <w:t>No Re-Pricing of Stock Options or SARs</w:t>
            </w:r>
          </w:p>
        </w:tc>
        <w:tc>
          <w:tcPr>
            <w:tcW w:w="6900" w:type="dxa"/>
            <w:vAlign w:val="bottom"/>
          </w:tcPr>
          <w:p>
            <w:pPr>
              <w:ind w:left="1240"/>
              <w:spacing w:after="0"/>
              <w:rPr>
                <w:sz w:val="20"/>
                <w:szCs w:val="20"/>
                <w:color w:val="auto"/>
              </w:rPr>
            </w:pPr>
            <w:r>
              <w:rPr>
                <w:rFonts w:ascii="Arial" w:cs="Arial" w:eastAsia="Arial" w:hAnsi="Arial"/>
                <w:sz w:val="18"/>
                <w:szCs w:val="18"/>
                <w:color w:val="auto"/>
                <w:w w:val="96"/>
              </w:rPr>
              <w:t>The Plan does not permit, without shareholder approval, the “repricing” of</w:t>
            </w:r>
          </w:p>
        </w:tc>
      </w:tr>
      <w:tr>
        <w:trPr>
          <w:trHeight w:val="230"/>
        </w:trPr>
        <w:tc>
          <w:tcPr>
            <w:tcW w:w="4340" w:type="dxa"/>
            <w:vAlign w:val="bottom"/>
          </w:tcPr>
          <w:p>
            <w:pPr>
              <w:spacing w:after="0"/>
              <w:rPr>
                <w:sz w:val="20"/>
                <w:szCs w:val="20"/>
                <w:color w:val="auto"/>
              </w:rPr>
            </w:pPr>
          </w:p>
        </w:tc>
        <w:tc>
          <w:tcPr>
            <w:tcW w:w="6900" w:type="dxa"/>
            <w:vAlign w:val="bottom"/>
          </w:tcPr>
          <w:p>
            <w:pPr>
              <w:ind w:left="1240"/>
              <w:spacing w:after="0"/>
              <w:rPr>
                <w:sz w:val="20"/>
                <w:szCs w:val="20"/>
                <w:color w:val="auto"/>
              </w:rPr>
            </w:pPr>
            <w:r>
              <w:rPr>
                <w:rFonts w:ascii="Arial" w:cs="Arial" w:eastAsia="Arial" w:hAnsi="Arial"/>
                <w:sz w:val="18"/>
                <w:szCs w:val="18"/>
                <w:color w:val="auto"/>
              </w:rPr>
              <w:t>stock options and SARs.</w:t>
            </w:r>
          </w:p>
        </w:tc>
      </w:tr>
      <w:tr>
        <w:trPr>
          <w:trHeight w:val="229"/>
        </w:trPr>
        <w:tc>
          <w:tcPr>
            <w:tcW w:w="4340" w:type="dxa"/>
            <w:vAlign w:val="bottom"/>
          </w:tcPr>
          <w:p>
            <w:pPr>
              <w:spacing w:after="0"/>
              <w:rPr>
                <w:sz w:val="19"/>
                <w:szCs w:val="19"/>
                <w:color w:val="auto"/>
              </w:rPr>
            </w:pPr>
          </w:p>
        </w:tc>
        <w:tc>
          <w:tcPr>
            <w:tcW w:w="6900" w:type="dxa"/>
            <w:vAlign w:val="bottom"/>
          </w:tcPr>
          <w:p>
            <w:pPr>
              <w:spacing w:after="0"/>
              <w:rPr>
                <w:sz w:val="19"/>
                <w:szCs w:val="19"/>
                <w:color w:val="auto"/>
              </w:rPr>
            </w:pPr>
          </w:p>
        </w:tc>
      </w:tr>
      <w:tr>
        <w:trPr>
          <w:trHeight w:val="215"/>
        </w:trPr>
        <w:tc>
          <w:tcPr>
            <w:tcW w:w="434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Clawback and Forfeiture Provisions</w:t>
            </w:r>
          </w:p>
        </w:tc>
        <w:tc>
          <w:tcPr>
            <w:tcW w:w="6900" w:type="dxa"/>
            <w:vAlign w:val="bottom"/>
            <w:shd w:val="clear" w:color="auto" w:fill="F2F2F2"/>
          </w:tcPr>
          <w:p>
            <w:pPr>
              <w:ind w:left="1240"/>
              <w:spacing w:after="0"/>
              <w:rPr>
                <w:sz w:val="20"/>
                <w:szCs w:val="20"/>
                <w:color w:val="auto"/>
              </w:rPr>
            </w:pPr>
            <w:r>
              <w:rPr>
                <w:rFonts w:ascii="Arial" w:cs="Arial" w:eastAsia="Arial" w:hAnsi="Arial"/>
                <w:sz w:val="18"/>
                <w:szCs w:val="18"/>
                <w:color w:val="auto"/>
                <w:w w:val="91"/>
              </w:rPr>
              <w:t>Awards granted under the Plan will be subject to forfeiture as provided by the</w:t>
            </w:r>
          </w:p>
        </w:tc>
      </w:tr>
      <w:tr>
        <w:trPr>
          <w:trHeight w:val="216"/>
        </w:trPr>
        <w:tc>
          <w:tcPr>
            <w:tcW w:w="4340" w:type="dxa"/>
            <w:vAlign w:val="bottom"/>
            <w:shd w:val="clear" w:color="auto" w:fill="F2F2F2"/>
          </w:tcPr>
          <w:p>
            <w:pPr>
              <w:spacing w:after="0"/>
              <w:rPr>
                <w:sz w:val="18"/>
                <w:szCs w:val="18"/>
                <w:color w:val="auto"/>
              </w:rPr>
            </w:pPr>
          </w:p>
        </w:tc>
        <w:tc>
          <w:tcPr>
            <w:tcW w:w="6900" w:type="dxa"/>
            <w:vAlign w:val="bottom"/>
            <w:shd w:val="clear" w:color="auto" w:fill="F2F2F2"/>
          </w:tcPr>
          <w:p>
            <w:pPr>
              <w:ind w:left="1240"/>
              <w:spacing w:after="0"/>
              <w:rPr>
                <w:sz w:val="20"/>
                <w:szCs w:val="20"/>
                <w:color w:val="auto"/>
              </w:rPr>
            </w:pPr>
            <w:r>
              <w:rPr>
                <w:rFonts w:ascii="Arial" w:cs="Arial" w:eastAsia="Arial" w:hAnsi="Arial"/>
                <w:sz w:val="18"/>
                <w:szCs w:val="18"/>
                <w:color w:val="auto"/>
                <w:w w:val="96"/>
              </w:rPr>
              <w:t>Compensation Committee if a participant engages in “detrimental activity”</w:t>
            </w:r>
          </w:p>
        </w:tc>
      </w:tr>
      <w:tr>
        <w:trPr>
          <w:trHeight w:val="216"/>
        </w:trPr>
        <w:tc>
          <w:tcPr>
            <w:tcW w:w="4340" w:type="dxa"/>
            <w:vAlign w:val="bottom"/>
            <w:shd w:val="clear" w:color="auto" w:fill="F2F2F2"/>
          </w:tcPr>
          <w:p>
            <w:pPr>
              <w:spacing w:after="0"/>
              <w:rPr>
                <w:sz w:val="18"/>
                <w:szCs w:val="18"/>
                <w:color w:val="auto"/>
              </w:rPr>
            </w:pPr>
          </w:p>
        </w:tc>
        <w:tc>
          <w:tcPr>
            <w:tcW w:w="6900" w:type="dxa"/>
            <w:vAlign w:val="bottom"/>
            <w:shd w:val="clear" w:color="auto" w:fill="F2F2F2"/>
          </w:tcPr>
          <w:p>
            <w:pPr>
              <w:ind w:left="1240"/>
              <w:spacing w:after="0"/>
              <w:rPr>
                <w:sz w:val="20"/>
                <w:szCs w:val="20"/>
                <w:color w:val="auto"/>
              </w:rPr>
            </w:pPr>
            <w:r>
              <w:rPr>
                <w:rFonts w:ascii="Arial" w:cs="Arial" w:eastAsia="Arial" w:hAnsi="Arial"/>
                <w:sz w:val="18"/>
                <w:szCs w:val="18"/>
                <w:color w:val="auto"/>
              </w:rPr>
              <w:t>(such as a breach of a non-compete, non-solicitation, or confidentiality</w:t>
            </w:r>
          </w:p>
        </w:tc>
      </w:tr>
      <w:tr>
        <w:trPr>
          <w:trHeight w:val="216"/>
        </w:trPr>
        <w:tc>
          <w:tcPr>
            <w:tcW w:w="4340" w:type="dxa"/>
            <w:vAlign w:val="bottom"/>
            <w:shd w:val="clear" w:color="auto" w:fill="F2F2F2"/>
          </w:tcPr>
          <w:p>
            <w:pPr>
              <w:spacing w:after="0"/>
              <w:rPr>
                <w:sz w:val="18"/>
                <w:szCs w:val="18"/>
                <w:color w:val="auto"/>
              </w:rPr>
            </w:pPr>
          </w:p>
        </w:tc>
        <w:tc>
          <w:tcPr>
            <w:tcW w:w="6900" w:type="dxa"/>
            <w:vAlign w:val="bottom"/>
            <w:shd w:val="clear" w:color="auto" w:fill="F2F2F2"/>
          </w:tcPr>
          <w:p>
            <w:pPr>
              <w:ind w:left="1240"/>
              <w:spacing w:after="0"/>
              <w:rPr>
                <w:sz w:val="20"/>
                <w:szCs w:val="20"/>
                <w:color w:val="auto"/>
              </w:rPr>
            </w:pPr>
            <w:r>
              <w:rPr>
                <w:rFonts w:ascii="Arial" w:cs="Arial" w:eastAsia="Arial" w:hAnsi="Arial"/>
                <w:sz w:val="18"/>
                <w:szCs w:val="18"/>
                <w:color w:val="auto"/>
                <w:w w:val="95"/>
              </w:rPr>
              <w:t>covenant). Awards granted under the Plan are also subject to recoupment</w:t>
            </w:r>
          </w:p>
        </w:tc>
      </w:tr>
      <w:tr>
        <w:trPr>
          <w:trHeight w:val="230"/>
        </w:trPr>
        <w:tc>
          <w:tcPr>
            <w:tcW w:w="4340" w:type="dxa"/>
            <w:vAlign w:val="bottom"/>
            <w:shd w:val="clear" w:color="auto" w:fill="F2F2F2"/>
          </w:tcPr>
          <w:p>
            <w:pPr>
              <w:spacing w:after="0"/>
              <w:rPr>
                <w:sz w:val="20"/>
                <w:szCs w:val="20"/>
                <w:color w:val="auto"/>
              </w:rPr>
            </w:pPr>
          </w:p>
        </w:tc>
        <w:tc>
          <w:tcPr>
            <w:tcW w:w="6900" w:type="dxa"/>
            <w:vAlign w:val="bottom"/>
            <w:shd w:val="clear" w:color="auto" w:fill="F2F2F2"/>
          </w:tcPr>
          <w:p>
            <w:pPr>
              <w:ind w:left="1240"/>
              <w:spacing w:after="0"/>
              <w:rPr>
                <w:sz w:val="20"/>
                <w:szCs w:val="20"/>
                <w:color w:val="auto"/>
              </w:rPr>
            </w:pPr>
            <w:r>
              <w:rPr>
                <w:rFonts w:ascii="Arial" w:cs="Arial" w:eastAsia="Arial" w:hAnsi="Arial"/>
                <w:sz w:val="18"/>
                <w:szCs w:val="18"/>
                <w:color w:val="auto"/>
              </w:rPr>
              <w:t>under any compensation recovery policy adopted by the Company.</w:t>
            </w:r>
          </w:p>
        </w:tc>
      </w:tr>
      <w:tr>
        <w:trPr>
          <w:trHeight w:val="229"/>
        </w:trPr>
        <w:tc>
          <w:tcPr>
            <w:tcW w:w="4340" w:type="dxa"/>
            <w:vAlign w:val="bottom"/>
            <w:shd w:val="clear" w:color="auto" w:fill="F2F2F2"/>
          </w:tcPr>
          <w:p>
            <w:pPr>
              <w:spacing w:after="0"/>
              <w:rPr>
                <w:sz w:val="19"/>
                <w:szCs w:val="19"/>
                <w:color w:val="auto"/>
              </w:rPr>
            </w:pPr>
          </w:p>
        </w:tc>
        <w:tc>
          <w:tcPr>
            <w:tcW w:w="6900" w:type="dxa"/>
            <w:vAlign w:val="bottom"/>
            <w:shd w:val="clear" w:color="auto" w:fill="F2F2F2"/>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351" w:right="339" w:bottom="1440" w:gutter="0" w:footer="0" w:header="0"/>
        </w:sectPr>
      </w:pPr>
    </w:p>
    <w:p>
      <w:pPr>
        <w:spacing w:after="0" w:line="276" w:lineRule="auto"/>
        <w:rPr>
          <w:sz w:val="20"/>
          <w:szCs w:val="20"/>
          <w:color w:val="auto"/>
        </w:rPr>
      </w:pPr>
      <w:r>
        <w:rPr>
          <w:rFonts w:ascii="Arial" w:cs="Arial" w:eastAsia="Arial" w:hAnsi="Arial"/>
          <w:sz w:val="18"/>
          <w:szCs w:val="18"/>
          <w:b w:val="1"/>
          <w:bCs w:val="1"/>
          <w:color w:val="auto"/>
        </w:rPr>
        <w:t>No Dividends or Dividend Equivalents on Unvested Performance Awards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8"/>
          <w:szCs w:val="18"/>
          <w:color w:val="auto"/>
        </w:rPr>
        <w:t>To the extent dividends or dividend equivalents are paid with respect to awards that vest based on the achievement of performance goals, those amounts will be accumulated until such award is earned, and the dividends or dividend equivalents shall not be paid if the performance goals are not satisfied.</w:t>
      </w:r>
    </w:p>
    <w:p>
      <w:pPr>
        <w:spacing w:after="0" w:line="200" w:lineRule="exact"/>
        <w:rPr>
          <w:sz w:val="20"/>
          <w:szCs w:val="20"/>
          <w:color w:val="auto"/>
        </w:rPr>
      </w:pPr>
    </w:p>
    <w:p>
      <w:pPr>
        <w:sectPr>
          <w:pgSz w:w="11900" w:h="16838" w:orient="portrait"/>
          <w:cols w:equalWidth="0" w:num="2">
            <w:col w:w="5000" w:space="580"/>
            <w:col w:w="5660"/>
          </w:cols>
          <w:pgMar w:left="320" w:top="351"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Administered by an Independent Committee</w:t>
            </w:r>
          </w:p>
        </w:tc>
        <w:tc>
          <w:tcPr>
            <w:tcW w:w="6740" w:type="dxa"/>
            <w:vAlign w:val="bottom"/>
            <w:shd w:val="clear" w:color="auto" w:fill="F2F2F2"/>
          </w:tcPr>
          <w:p>
            <w:pPr>
              <w:ind w:left="1080"/>
              <w:spacing w:after="0"/>
              <w:rPr>
                <w:sz w:val="20"/>
                <w:szCs w:val="20"/>
                <w:color w:val="auto"/>
              </w:rPr>
            </w:pPr>
            <w:r>
              <w:rPr>
                <w:rFonts w:ascii="Arial" w:cs="Arial" w:eastAsia="Arial" w:hAnsi="Arial"/>
                <w:sz w:val="18"/>
                <w:szCs w:val="18"/>
                <w:color w:val="auto"/>
                <w:w w:val="90"/>
              </w:rPr>
              <w:t>The Plan will be administered by the Compensation Committee, each member</w:t>
            </w:r>
          </w:p>
        </w:tc>
      </w:tr>
      <w:tr>
        <w:trPr>
          <w:trHeight w:val="216"/>
        </w:trPr>
        <w:tc>
          <w:tcPr>
            <w:tcW w:w="4500" w:type="dxa"/>
            <w:vAlign w:val="bottom"/>
            <w:shd w:val="clear" w:color="auto" w:fill="F2F2F2"/>
          </w:tcPr>
          <w:p>
            <w:pPr>
              <w:spacing w:after="0"/>
              <w:rPr>
                <w:sz w:val="18"/>
                <w:szCs w:val="18"/>
                <w:color w:val="auto"/>
              </w:rPr>
            </w:pPr>
          </w:p>
        </w:tc>
        <w:tc>
          <w:tcPr>
            <w:tcW w:w="6740" w:type="dxa"/>
            <w:vAlign w:val="bottom"/>
            <w:shd w:val="clear" w:color="auto" w:fill="F2F2F2"/>
          </w:tcPr>
          <w:p>
            <w:pPr>
              <w:ind w:left="1080"/>
              <w:spacing w:after="0"/>
              <w:rPr>
                <w:sz w:val="20"/>
                <w:szCs w:val="20"/>
                <w:color w:val="auto"/>
              </w:rPr>
            </w:pPr>
            <w:r>
              <w:rPr>
                <w:rFonts w:ascii="Arial" w:cs="Arial" w:eastAsia="Arial" w:hAnsi="Arial"/>
                <w:sz w:val="18"/>
                <w:szCs w:val="18"/>
                <w:color w:val="auto"/>
                <w:w w:val="93"/>
              </w:rPr>
              <w:t>of which qualifies as an “independent director” under the listing standards of</w:t>
            </w:r>
          </w:p>
        </w:tc>
      </w:tr>
      <w:tr>
        <w:trPr>
          <w:trHeight w:val="230"/>
        </w:trPr>
        <w:tc>
          <w:tcPr>
            <w:tcW w:w="4500" w:type="dxa"/>
            <w:vAlign w:val="bottom"/>
            <w:shd w:val="clear" w:color="auto" w:fill="F2F2F2"/>
          </w:tcPr>
          <w:p>
            <w:pPr>
              <w:spacing w:after="0"/>
              <w:rPr>
                <w:sz w:val="20"/>
                <w:szCs w:val="20"/>
                <w:color w:val="auto"/>
              </w:rPr>
            </w:pPr>
          </w:p>
        </w:tc>
        <w:tc>
          <w:tcPr>
            <w:tcW w:w="6740" w:type="dxa"/>
            <w:vAlign w:val="bottom"/>
            <w:shd w:val="clear" w:color="auto" w:fill="F2F2F2"/>
          </w:tcPr>
          <w:p>
            <w:pPr>
              <w:ind w:left="1080"/>
              <w:spacing w:after="0"/>
              <w:rPr>
                <w:sz w:val="20"/>
                <w:szCs w:val="20"/>
                <w:color w:val="auto"/>
              </w:rPr>
            </w:pPr>
            <w:r>
              <w:rPr>
                <w:rFonts w:ascii="Arial" w:cs="Arial" w:eastAsia="Arial" w:hAnsi="Arial"/>
                <w:sz w:val="18"/>
                <w:szCs w:val="18"/>
                <w:color w:val="auto"/>
              </w:rPr>
              <w:t>the Nasdaq.</w:t>
            </w:r>
          </w:p>
        </w:tc>
      </w:tr>
      <w:tr>
        <w:trPr>
          <w:trHeight w:val="229"/>
        </w:trPr>
        <w:tc>
          <w:tcPr>
            <w:tcW w:w="4500" w:type="dxa"/>
            <w:vAlign w:val="bottom"/>
            <w:shd w:val="clear" w:color="auto" w:fill="F2F2F2"/>
          </w:tcPr>
          <w:p>
            <w:pPr>
              <w:spacing w:after="0"/>
              <w:rPr>
                <w:sz w:val="19"/>
                <w:szCs w:val="19"/>
                <w:color w:val="auto"/>
              </w:rPr>
            </w:pPr>
          </w:p>
        </w:tc>
        <w:tc>
          <w:tcPr>
            <w:tcW w:w="6740" w:type="dxa"/>
            <w:vAlign w:val="bottom"/>
            <w:shd w:val="clear" w:color="auto" w:fill="F2F2F2"/>
          </w:tcPr>
          <w:p>
            <w:pPr>
              <w:spacing w:after="0"/>
              <w:rPr>
                <w:sz w:val="19"/>
                <w:szCs w:val="19"/>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the Plan is to attract, motivate and retain directors, officers and other key employees of the Company and its subsidiaries and to provide to such individuals incentives and rewards for superior performance. The Board continues to believe that awards granted under the Plan promote the growth and continued success of the Company and are thus of substantial benefit to the Company and its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provides that awards may be granted to employees (including employees of subsidiaries) and non-employee directors, except that incentive stock options may be granted only to employees. There are 9 non-employee directors who received awards under the Plan. As of March 5, 2021, we had approximately 5,600 employees, and equity awards under the Plan were held by approximately 530 current and former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Under the Plan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adjustment as provided in the Plan, 3,000,000 Shares were initially reserved for issuance under the Plan, plus (i) any Shares that remained available for issuance or delivery under The E.W. Scripps Company 1997 Long-Term Incentive Plan (the “Prior Plan”), and (ii) any Shares that were subject to awards granted under the Prior Plan that are forfeited, terminated, settled in cash or used to satisfy tax withholding obligations. An additional 1,000,000 Shares were authorized by the holders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65" w:name="page66"/>
    <w:bookmarkEnd w:id="65"/>
    <w:p>
      <w:pPr>
        <w:jc w:val="both"/>
        <w:spacing w:after="0" w:line="257" w:lineRule="auto"/>
        <w:rPr>
          <w:sz w:val="20"/>
          <w:szCs w:val="20"/>
          <w:color w:val="auto"/>
        </w:rPr>
      </w:pPr>
      <w:r>
        <w:rPr>
          <w:rFonts w:ascii="Arial" w:cs="Arial" w:eastAsia="Arial" w:hAnsi="Arial"/>
          <w:sz w:val="18"/>
          <w:szCs w:val="18"/>
          <w:color w:val="auto"/>
        </w:rPr>
        <w:t>Common Voting Shares on May 4, 2015 and an additional 3,000,000 Shares were authorized by the holders of our Common Voting Shares on May 6, 2019. Of the total Shares reserved for issuance under the Plan, 2,368,622 Shares remained available for issuance as of March 5, 2021. If the Amendment is approved, an additional 4,000,000 Shares will be reserved for issuance under the Plan. In order to comply with the rules applicable to incentive stock options, the Plan provides that the aggregate number of Shares issued or delivered upon the exercise of an incentive stock option may not exceed 4,000,000 Shares.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Shares may include authorized but unissued Shares, treasury Shares, or a combination of the foregoing. Shares covering awards under the Plan that terminate or are forfeited will again be available for issuance or delivery under the Plan, and upon payment in cash of the benefit provided by any award granted under the Plan, any Shares that were covered by that award will be available for issue or delivery under the Plan. Shares surrendered for the payment of the exercise price under stock options, repurchased by us with option proceeds, or withheld for taxes upon exercise or vesting of an award granted under the Plan, will not again be available for issuance or delivery under the Plan. In addition, when an SAR is exercised and settled in Shares, all of the Shares underlying the SAR will be counted against the Plan limit regardless of the number of Shares used to settle the SAR.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Awards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comply with the performance-based exception from Section 162(m) of the Internal Revenue Code (“Section 162(m)”), as in effect prior to Tax Reform and Jobs Act of 2017, the Plan imposes the following additional individual sub-limits on awards intended to satisfy the exception:</w:t>
      </w:r>
    </w:p>
    <w:p>
      <w:pPr>
        <w:spacing w:after="0" w:line="146" w:lineRule="exact"/>
        <w:rPr>
          <w:sz w:val="20"/>
          <w:szCs w:val="20"/>
          <w:color w:val="auto"/>
        </w:rPr>
      </w:pPr>
    </w:p>
    <w:p>
      <w:pPr>
        <w:ind w:left="800" w:hanging="401"/>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aggregate number of Shares that may be subject to stock options or SARs granted in any calendar year to any one participant will be 2,000,000 Shares;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aggregate number of restricted Shares and Shares subject to restricted share units, performance Shares and other stock-based awards granted in any calendar year to any one participant will be 1,500,000 Shares;</w:t>
      </w:r>
    </w:p>
    <w:p>
      <w:pPr>
        <w:spacing w:after="0" w:line="170"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maximum aggregate compensation that can be paid pursuant to performance units or other cash-based awards granted in any calendar year to any one participant will be $3,000,000 or a number of Shares having an aggregate fair market value not in excess of such amount, and</w:t>
      </w:r>
    </w:p>
    <w:p>
      <w:pPr>
        <w:spacing w:after="0" w:line="15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dividend equivalents that may be paid in any calendar year to any one Participant shall be $300,000 or a number of Shares having an aggregate fair market value not in excess of such amount.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the Tax Reform and Jobs Act of 2017 generally eliminated the ability to deduct compensation qualifying for the “performance-based compensation” exemption to Section 162(m) for tax years commencing after December 31, 2017, these provisions remain in the proposed amended Plan. We will not make future awards under the Plan that are intended to qualify for this exemption and therefore these limits will not apply.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Plan limits the aggregate grant date fair value of all awards granted to any non-employee director during any single calendar year for services as a director (excluding awards made at the election of the director in lieu of all or a portion of annual and committee cash retainers), taken together with any cash fees paid to such person during such calendar year, to $300,000 with respect to any director who is serving in a capacity other than non-executive Chairman, and $500,000 with respect to a non-executive Chairman.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will be administered by the Compensation Committee and the Committee will have full and final authority in its discretion to take all actions determined by the Compensation Committee to be necessary in the administration of the Plan. The Board may reserve to itself any or all of the authority and responsibility of the Compensation Committee under the Plan or may act as administrator of the Plan for any and all purposes. In addition, the Board or Compensation Committee may expressly delegate to a special committee, consisting of one or more directors who are also officers of the Company, some or all of the Compensation Committee’s authority, within specified parameters, to grant awards to eligible participants who, at the time of grant, are not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Types of Awards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awards may be granted under the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provide the right to purchase Shares at a price not less than the fair market value on the date of grant. Stock options may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incentive stock options, non-qualified stock options or any combination of the foregoing awards. The option price is payable at the time of exercise in cash, by tendering unrestricted Shares, with any other legal consideration that the Compensation Committee may deem appropriate (including broker-assisted or net exercise), or by any combination of the foregoing. No stock options may be exercised more than ten (10) years from the date of grant. The closing price of a Share as reported on the Nasdaq on March 5, 2021 was $22.60 per Share. The award agreement will provide the vesting and post-termination exercise periods applicable to each award of stock options.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provide the right to receive payment of the sum of the excess of the fair market value per Share on the date of exercise over the grant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price for each SAR will be determined by the Compensation Committee, in its discretion, and will be at least equal to the fair market value of a Share on the date of grant. Each grant will specify whether the payment will be in cash, Shares of equivalent value, or in some combination thereof. No SAR may be exercised more than ten (10) years from the date of grant. The award agreement will provide the vesting and post-termination exercise periods applicable to each award of SARs.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An award of restricted Shares constitutes an immediate transfer of ownership of a specified number of Shares to the recipient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the performance of services. Unless otherwise provided by the Compensation Committee, the participant is entitled immediately to voting, dividend and other ownership rights in the Shares. Restricted Shares must be subject to a “substantial risk of forfeiture” based on continued service, the achievement of performance objectives, or upon the occurrence of other events as determined by the Compensation Committee, at its discretion. In order to enforce these forfeiture provisions, the transferability of restricted Shares will be prohibited or restricted in the manner prescribed by the Compensation Committee on the date of grant for the period during which such forfeiture provisions are to continue.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Restricted Share Units</w:t>
      </w:r>
      <w:r>
        <w:rPr>
          <w:rFonts w:ascii="Arial" w:cs="Arial" w:eastAsia="Arial" w:hAnsi="Arial"/>
          <w:sz w:val="17"/>
          <w:szCs w:val="17"/>
          <w:color w:val="auto"/>
        </w:rPr>
        <w:t>. Restricted share units constitute an agreement to issue or deliver Shares or cash to the recipient in the future at the end of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 period and subject to the fulfillment of such conditions as the Compensation Committee may specify. During the restriction period the participant has no right to transfer any rights under his or her award and no right to vote or receive dividends on the Shares covered by the restricted share units, but the Compensation Committee may authorize the payment of dividend equivalents with respect to the restricted share units.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Performance Shares and Performance Units</w:t>
      </w:r>
      <w:r>
        <w:rPr>
          <w:rFonts w:ascii="Arial" w:cs="Arial" w:eastAsia="Arial" w:hAnsi="Arial"/>
          <w:sz w:val="17"/>
          <w:szCs w:val="17"/>
          <w:color w:val="auto"/>
        </w:rPr>
        <w:t>. A performance share is the equivalent of one Share. A performance unit is the equivalent of a dollar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at the time of the award. The participant will be required to meet one or more performance objectives (as described above) within a specified period. To the extent earned, the participant will receive payment of the performance Shares or performance units at the time and in the manner determined by the Compensation Committee in cash, Shares, restricted Shares, restricted share units or any combination thereof. The participant has no right to transfer any rights under his or her award and no right to vote or receive dividends on the Shares covered by the performance Shares, but the Compensation Committee may authorize the payment of dividend equivalents with respect to the performance Shares.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Compensation Committee may, at any time and from time to time, grant or sell other awards that may be denominated or payable in,</w:t>
      </w:r>
      <w:r>
        <w:rPr>
          <w:rFonts w:ascii="Arial" w:cs="Arial" w:eastAsia="Arial" w:hAnsi="Arial"/>
          <w:sz w:val="17"/>
          <w:szCs w:val="17"/>
          <w:i w:val="1"/>
          <w:iCs w:val="1"/>
          <w:color w:val="auto"/>
        </w:rPr>
        <w:t xml:space="preserve"> </w:t>
      </w:r>
      <w:r>
        <w:rPr>
          <w:rFonts w:ascii="Arial" w:cs="Arial" w:eastAsia="Arial" w:hAnsi="Arial"/>
          <w:sz w:val="17"/>
          <w:szCs w:val="17"/>
          <w:color w:val="auto"/>
        </w:rPr>
        <w:t>valued in whole or in part by reference to, or otherwise based on or related to, Shares or factors that may influence the value of such Shares. The Compensation Committee will determine the terms and conditions of these awards. The Compensation Committee may also grant cash awards as an element of or supplement to any other award granted under the Plan. The Compensation Committee may also grant Shares as a bonus, or may grant other awards in lieu of obligations of the Company or a subsidiary to pay cash or deliver other property under the Plan or under other plans or compensatory arrangements, subject to such terms as are determined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i w:val="1"/>
          <w:iCs w:val="1"/>
          <w:color w:val="auto"/>
        </w:rPr>
        <w:t>Purchase Rights</w:t>
      </w:r>
      <w:r>
        <w:rPr>
          <w:rFonts w:ascii="Arial" w:cs="Arial" w:eastAsia="Arial" w:hAnsi="Arial"/>
          <w:sz w:val="18"/>
          <w:szCs w:val="18"/>
          <w:color w:val="auto"/>
        </w:rPr>
        <w:t>. The Compensation Committee may, at any time and from time to time, grant rights to purchase Shares in accordance with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employee stock purchase sub-plan (“ESPP”) attached as Exhibit A to the Plan. Purchases of Shares under the ESPP will count against the overall share reserve of the Plan.</w:t>
      </w:r>
    </w:p>
    <w:p>
      <w:pPr>
        <w:spacing w:after="0" w:line="184" w:lineRule="exact"/>
        <w:rPr>
          <w:sz w:val="20"/>
          <w:szCs w:val="20"/>
          <w:color w:val="auto"/>
        </w:rPr>
      </w:pPr>
    </w:p>
    <w:p>
      <w:pPr>
        <w:jc w:val="both"/>
        <w:ind w:left="880" w:hanging="818"/>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ESPP will be administered by the Vice President, Human Resource Operations, or similar position. The Administrator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the administration of all matters under the ESPP and has full discretionary authority to construe, interpret and apply the terms of the ESPP, to determine eligibility, and to adjudicate all disputed claims filed under the ESPP. The Compensation Committee may reserve to itself any or all of the authority and responsibility of the Administrator under the ESPP, or may act as administrator of the ESPP for any and all purposes. A third party recordkeeper will maintain an investment account for each participant with a record of the Shares purchased by such participant.</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jc w:val="both"/>
        <w:ind w:left="900" w:hanging="825"/>
        <w:spacing w:after="0" w:line="279" w:lineRule="auto"/>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Any person who is employed by the Company or any subsidiary, who is regularly scheduled to work at least twenty (20) hours per</w:t>
      </w:r>
      <w:r>
        <w:rPr>
          <w:rFonts w:ascii="Arial" w:cs="Arial" w:eastAsia="Arial" w:hAnsi="Arial"/>
          <w:sz w:val="17"/>
          <w:szCs w:val="17"/>
          <w:i w:val="1"/>
          <w:iCs w:val="1"/>
          <w:color w:val="auto"/>
        </w:rPr>
        <w:t xml:space="preserve"> </w:t>
      </w:r>
      <w:r>
        <w:rPr>
          <w:rFonts w:ascii="Arial" w:cs="Arial" w:eastAsia="Arial" w:hAnsi="Arial"/>
          <w:sz w:val="17"/>
          <w:szCs w:val="17"/>
          <w:color w:val="auto"/>
        </w:rPr>
        <w:t>week, is customarily employed for at least five (5) months each calendar year, is not a member of a collective bargaining unit (unless the collective bargaining agreement covering such person specifically provides for eligibility to participate in the ESPP), and is not designated as ineligible to participate in the ESPP by the Administrator is generally eligible to participate in the ESPP.</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900" w:hanging="825"/>
        <w:spacing w:after="0"/>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Special Limitations.  </w:t>
      </w:r>
      <w:r>
        <w:rPr>
          <w:rFonts w:ascii="Arial" w:cs="Arial" w:eastAsia="Arial" w:hAnsi="Arial"/>
          <w:sz w:val="16"/>
          <w:szCs w:val="16"/>
          <w:color w:val="auto"/>
        </w:rPr>
        <w:t>The ESPP imposes certain limitations upon a participant’s rights to acquire Shares, including the following limitations:</w:t>
      </w:r>
    </w:p>
    <w:p>
      <w:pPr>
        <w:spacing w:after="0" w:line="46" w:lineRule="exact"/>
        <w:rPr>
          <w:rFonts w:ascii="Arial" w:cs="Arial" w:eastAsia="Arial" w:hAnsi="Arial"/>
          <w:sz w:val="16"/>
          <w:szCs w:val="16"/>
          <w:color w:val="auto"/>
        </w:rPr>
      </w:pPr>
    </w:p>
    <w:p>
      <w:pPr>
        <w:jc w:val="both"/>
        <w:ind w:left="900" w:hanging="10"/>
        <w:spacing w:after="0" w:line="295" w:lineRule="auto"/>
        <w:tabs>
          <w:tab w:leader="none" w:pos="1123" w:val="left"/>
        </w:tabs>
        <w:numPr>
          <w:ilvl w:val="2"/>
          <w:numId w:val="41"/>
        </w:numPr>
        <w:rPr>
          <w:rFonts w:ascii="Arial" w:cs="Arial" w:eastAsia="Arial" w:hAnsi="Arial"/>
          <w:sz w:val="16"/>
          <w:szCs w:val="16"/>
          <w:color w:val="auto"/>
        </w:rPr>
      </w:pPr>
      <w:r>
        <w:rPr>
          <w:rFonts w:ascii="Arial" w:cs="Arial" w:eastAsia="Arial" w:hAnsi="Arial"/>
          <w:sz w:val="16"/>
          <w:szCs w:val="16"/>
          <w:color w:val="auto"/>
        </w:rPr>
        <w:t>purchase rights granted to a participant may not permit such individual to purchase more than $25,000 worth of Shares (valued at the time each purchase right is granted) for each calendar year those purchase rights are outstanding; and (ii) purchase rights may not be granted to any individual if such individual would, immediately after the grant, own or hold outstanding options or other rights to purchase stock possessing five percent (5%) or more of the total combined voting power or value of all classes of stock of the Company or any of its affiliates.</w:t>
      </w:r>
    </w:p>
    <w:p>
      <w:pPr>
        <w:spacing w:after="0" w:line="200" w:lineRule="exact"/>
        <w:rPr>
          <w:rFonts w:ascii="Arial" w:cs="Arial" w:eastAsia="Arial" w:hAnsi="Arial"/>
          <w:sz w:val="16"/>
          <w:szCs w:val="16"/>
          <w:color w:val="auto"/>
        </w:rPr>
      </w:pPr>
    </w:p>
    <w:p>
      <w:pPr>
        <w:spacing w:after="0" w:line="244" w:lineRule="exact"/>
        <w:rPr>
          <w:rFonts w:ascii="Arial" w:cs="Arial" w:eastAsia="Arial" w:hAnsi="Arial"/>
          <w:sz w:val="16"/>
          <w:szCs w:val="16"/>
          <w:color w:val="auto"/>
        </w:rPr>
      </w:pPr>
    </w:p>
    <w:p>
      <w:pPr>
        <w:jc w:val="both"/>
        <w:ind w:left="900" w:hanging="825"/>
        <w:spacing w:after="0" w:line="25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Participation and Payroll Deductions. </w:t>
      </w:r>
      <w:r>
        <w:rPr>
          <w:rFonts w:ascii="Arial" w:cs="Arial" w:eastAsia="Arial" w:hAnsi="Arial"/>
          <w:sz w:val="18"/>
          <w:szCs w:val="18"/>
          <w:color w:val="auto"/>
        </w:rPr>
        <w:t>Eligible employees may purchase Shares at below-market prices through payroll deductions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quarterly offering period, with amounts accumulated during each offering period. The amount of the payroll deduction must be a whole percentage amount of the employee’s compensation (before withholding or other deductions) paid during the offering period by the company or any of its subsidiaries, and may be neither less than one percent (1%) nor more than ten percent (10%) of the employee’s compensation. Total payroll deductions for a calendar year may not exceed $22,500.</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jc w:val="both"/>
        <w:ind w:left="900" w:hanging="825"/>
        <w:spacing w:after="0" w:line="273" w:lineRule="auto"/>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Deduction Changes and Withdrawal. </w:t>
      </w:r>
      <w:r>
        <w:rPr>
          <w:rFonts w:ascii="Arial" w:cs="Arial" w:eastAsia="Arial" w:hAnsi="Arial"/>
          <w:sz w:val="17"/>
          <w:szCs w:val="17"/>
          <w:color w:val="auto"/>
        </w:rPr>
        <w:t>Employees may change their rate of payroll deduction at any time during the enrollment period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offering period, which is the one-month period ending on the fifteenth (15th) day of the calendar month preceding a quarterly offering period. A participant may withdraw from participation in the ESPP at any time by filing a notice of withdrawal. Upon a participant’s withdrawal, the amount credited to his or her share purchase account will be applied to the purchase of Shares on the next purchase date, which occurs on the last business day of each quarter. A participant who withdraws from the ESPP may again become a participant by filing a new enrollment form in accordance with the procedures described above.</w:t>
      </w:r>
    </w:p>
    <w:p>
      <w:pPr>
        <w:spacing w:after="0" w:line="200" w:lineRule="exact"/>
        <w:rPr>
          <w:rFonts w:ascii="Arial" w:cs="Arial" w:eastAsia="Arial" w:hAnsi="Arial"/>
          <w:sz w:val="17"/>
          <w:szCs w:val="17"/>
          <w:color w:val="auto"/>
        </w:rPr>
      </w:pPr>
    </w:p>
    <w:p>
      <w:pPr>
        <w:spacing w:after="0" w:line="261" w:lineRule="exact"/>
        <w:rPr>
          <w:rFonts w:ascii="Arial" w:cs="Arial" w:eastAsia="Arial" w:hAnsi="Arial"/>
          <w:sz w:val="17"/>
          <w:szCs w:val="17"/>
          <w:color w:val="auto"/>
        </w:rPr>
      </w:pPr>
    </w:p>
    <w:p>
      <w:pPr>
        <w:jc w:val="both"/>
        <w:ind w:left="880" w:right="460" w:hanging="805"/>
        <w:spacing w:after="0" w:line="263"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Purchase of Shares. </w:t>
      </w:r>
      <w:r>
        <w:rPr>
          <w:rFonts w:ascii="Arial" w:cs="Arial" w:eastAsia="Arial" w:hAnsi="Arial"/>
          <w:sz w:val="18"/>
          <w:szCs w:val="18"/>
          <w:color w:val="auto"/>
        </w:rPr>
        <w:t>Funds held in a participant’s account on the last business day of each quarterly offering period will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for the participant at a price equal to ninety percent (90%) of the Shares’ closing price on (1) the first trading day of each offering period, or (2) the last trading day of each offering period - whichever is lower.</w:t>
      </w:r>
    </w:p>
    <w:p>
      <w:pPr>
        <w:spacing w:after="0" w:line="251" w:lineRule="exact"/>
        <w:rPr>
          <w:sz w:val="20"/>
          <w:szCs w:val="20"/>
          <w:color w:val="auto"/>
        </w:rPr>
      </w:pPr>
    </w:p>
    <w:p>
      <w:pPr>
        <w:jc w:val="both"/>
        <w:ind w:left="860" w:right="460" w:hanging="798"/>
        <w:spacing w:after="0" w:line="263"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Cash dividends and other cash distributions will be paid to the participant as soon as administratively feasible,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makes an election to reinvest the cash dividends or other cash distributions in accordance with procedures established by the Administrator.</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900" w:hanging="825"/>
        <w:spacing w:after="0" w:line="263"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Sale of Shares. </w:t>
      </w:r>
      <w:r>
        <w:rPr>
          <w:rFonts w:ascii="Arial" w:cs="Arial" w:eastAsia="Arial" w:hAnsi="Arial"/>
          <w:sz w:val="18"/>
          <w:szCs w:val="18"/>
          <w:color w:val="auto"/>
        </w:rPr>
        <w:t>Subject to applicable securities laws, a participant may at any time, and without withdrawing from the ESPP, sell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under the ESPP by giving notice to the recordkeeper and directing the recordkeeper to sell all or part of the Shares held on behalf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Description of Business Criteria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may grant awards under the Plan that vest based on the achievement of performance objectives.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objectives for such awards will be based on criteria established by the Compensation Committee including one or more of the following criteria: earnings per share; segment profit; gross margin; operating or other expenses; earnings before interest and taxes (EBIT); earnings before interest, taxes, depreciation and amortization (EBITDA); cash flow; net income; return on investment (determined with reference to one or more categories of income or cash flow and one or more categories of assets, capital or equity); stock price appreciation; viewer ratings or impressions; online revenue; online segment profit; website traffic; circulation/readership; market share; and revenue.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objectives may be described in terms of either Company-wide objectives or objectives that are related to the performance of the individual participant or the performance of the Company or one or more of its subsidiaries, divisions, departments, units, functions, partnerships, joint ventures or minority investments, or product lines or products. The performance objectives may be relative to the performance of a group of comparable companies, a published or special index that the Compensation Committee, in its discretion, deems appropriate, or we may also select performance objectives as compared to various stock market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Vesting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Awards granted under the Plan shall vest no earlier than the first anniversary of the date the award is granted (excluding, for this purpose, any (i) awards granted pursuant to the ESPP, (ii) Shares delivered in lieu of fully vested cash awards or deferred compensation obligations related to director fees, (iii) awards assumed in certain mergers and acquisitions, and (iv) awards to directors that vest on the earlier of the one (1) year anniversary of the date of grant or the next annual meeting of shareholders (provided that such vesting period may not be less than fifty (50) weeks after grant)). However, the Compensation Committee may grant awards without regard to the foregoing minimum vesting requirement with respect to a maximum of five percent (5%) of the sum of the Shares available for issuance as of immediately after the 2019 Annual Meeting, plus the additional 4,000,000 Shares subject to the Amendment. The foregoing restriction does not apply to the Compensation Committee’s discretion to provide for accelerated exercisability or vesting of any Award, including in cases of retirement, death, disability, other termination of employment or a change in control, in the terms of the award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Amendment of the Plan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Plan will terminate at the end of the day on May 5, 2024, or such earlier date as the Board may determine. The Plan will remain in effect for outstanding awards until no awards remain outstanding. The Board may amend, suspend or terminate the Plan at any time, but shareholder approval is required for any amendment to the extent necessary to comply with the Nasdaq rules or applicable laws. An amendment of the Plan or any award may not adversely affect any outstanding award without the consent of the affected participant, provided that the Compensation Committee may amend the plan or any award without a participant’s consent to the extent the Compensation Committee deems necessary to comply with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Awards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Compensation Committee may in its discretion determine at any time that: (i) all or a portion of a participant’s stock options, SARs and other awards in the nature of rights that may be exercised will become fully or partially exercisable; (ii) all or a part of the time-based vesting restrictions on all or a portion of the outstanding awards will lapse; (iii) any performance-based criteria with respect to any awards will be deemed to be wholly or partially satisfied; and/or (iv) any other limitation or requirement under any such award will be waived, in each case, as of such date as the Compensation Committee, in its discretion, declares. Any such decisions by the Compensation Committee need not be uniform among all participants or awards.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will not make any adjustment that would cause an award that is otherwise exempt from Section 409A of the Internal Revenue Code (“Section 409A”) to become subject to Section 409A or that would cause an award that is subject to Section 409A to fail to satisfy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785495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69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Company experiences a change in control, unless otherwise provided under applicable laws or an award agreement: (i) outstanding stock options and SARs shall become fully vested and exercisable and shall remain exercisable for their full terms; (ii) outstanding restricted Shares, restricted share units and other stock-based awards shall become fully vested; and (iii) outstanding performance Shares, performance units and other performance-based awards shall vest the target level. Further, the Compensation Committee may, in its sole discretion, provide for cash payments in termination of outstanding award upon a change in control, with the cash payments equal to the difference between the fair market value of the covered Shares and the exercise price or grant price of the awards, if 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change in control generally means any of the following: (i) the acquisition of a majority of the Company’s Common Voting Shares by someone other than a party to the Scripps Family Agreement; (ii) a change in the membership of the Board, so that the current incumbents and their approved successors no longer constitute a majority; or (iii) the disposition of assets accounting for ninety percent (90%) or more of our revenues, unless the parties to the Scripps Family Agreement have a direct or indirect controlling interest in the acquiring entity.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Forfeiture and Repayment of Awards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the Compensation Committee determines a participant has engaged in any “detrimental activity,” either during service with the Company or a subsidiary or after termination of such service, then, promptly upon receiving notice of the Compensation Committee’s determination, the participant shall:</w:t>
      </w:r>
    </w:p>
    <w:p>
      <w:pPr>
        <w:spacing w:after="0" w:line="124" w:lineRule="exact"/>
        <w:rPr>
          <w:sz w:val="20"/>
          <w:szCs w:val="20"/>
          <w:color w:val="auto"/>
        </w:rPr>
      </w:pPr>
    </w:p>
    <w:p>
      <w:pPr>
        <w:ind w:left="380" w:hanging="318"/>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forfeit all awards granted under the Plan to the extent then held by the participant;</w:t>
      </w:r>
    </w:p>
    <w:p>
      <w:pPr>
        <w:spacing w:after="0" w:line="225" w:lineRule="exact"/>
        <w:rPr>
          <w:rFonts w:ascii="Arial" w:cs="Arial" w:eastAsia="Arial" w:hAnsi="Arial"/>
          <w:sz w:val="18"/>
          <w:szCs w:val="18"/>
          <w:color w:val="auto"/>
        </w:rPr>
      </w:pPr>
    </w:p>
    <w:p>
      <w:pPr>
        <w:jc w:val="both"/>
        <w:ind w:left="420" w:hanging="358"/>
        <w:spacing w:after="0" w:line="255" w:lineRule="auto"/>
        <w:tabs>
          <w:tab w:leader="none" w:pos="4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return to the Company or the subsidiary all Shares that the participant has not disposed of that had been acquired within two (2) years prior to the date of the participant’s initial commencement of the detrimental activity, in exchange for payment by the Company or the subsidiary of any amount actually paid therefor by the Participant; and (iii) with respect to any Shares acquired within two (2) years prior to the date of the participant’s initial commencement of the detrimental activity pursuant to awards granted under the Plan that were disposed of, pay to the Company or the subsidiary, in cash, the excess, if any, of: (A) the fair market value of the Shares on the date acquired, over (B) any amount actually paid by the participant for the Shares.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Detrimental activity generally means violations of any non-compete, non-solicitation, confidentiality, or ownership of works covenants, each as set forth in any agreement between the participant and the Company or a subsidiary, including, but not limited to, the award agreement or any severance plan maintained by the Company or a subsidiary that covers the participant. Detrimental activity also includes: (i) participant’s commission of any act of fraud, misappropriation or embezzlement against or in connection with the Company or any of its subsidiaries, or (ii) a conviction, guilty plea or plea of nolo contendere of participant for any crime involving dishonesty or for any felony.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Awards may also be subject to forfeiture or repayment pursuant to the terms of our compensation recovery policy, including any such policy that may be adopted to comply with the Dodd-Frank Wall Street Reform and Consumer Protection Act or any rules or regulations issued by the SEC or the Nasdaq.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the Board or Compensation Committee otherwise determines, awards granted under the Plan will not be transferable by a participant other than by will or the laws of descent and distribution. Except as otherwise determined by the Compensation Committee, stock options and SARs will be exercisable during a participant’s lifetime only by him or her or, in the event of the participant’s legal incapacity to do so, by his or her guardian or legal representative. Any award made under the Plan may provide that any Shares issued or delivered as a result of the award will be subject to further restrictions upon transfer.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any equity restructuring, such as a stock dividend, stock split, spinoff, rights offering or recapitalization through a large, nonrecurring cash dividend, the Compensation Committee will adjust the number and kind of Shares that may be issued or delivered under the Plan, the individual award limits, and, with respect to outstanding awards, the number and kind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jc w:val="both"/>
        <w:spacing w:after="0" w:line="275" w:lineRule="auto"/>
        <w:rPr>
          <w:sz w:val="20"/>
          <w:szCs w:val="20"/>
          <w:color w:val="auto"/>
        </w:rPr>
      </w:pPr>
      <w:r>
        <w:rPr>
          <w:rFonts w:ascii="Arial" w:cs="Arial" w:eastAsia="Arial" w:hAnsi="Arial"/>
          <w:sz w:val="17"/>
          <w:szCs w:val="17"/>
          <w:color w:val="auto"/>
        </w:rPr>
        <w:t>subject to outstanding awards, the exercise price, and the grant price or other price of Shares subject to outstanding awards, to prevent dilution or enlargement of rights. In the event of any other change in corporate capitalization, such as a merger, consolidation or liquidation, the Compensation Committee may, in its discretion, cause there to be such equitable adjustment as described in the foregoing sentence, to prevent dilution or enlargement of rights. However, unless otherwise determined by the Compensation Committee, the Company will always round down to a whole number of Shares subject to any award. Any such adjustment will be made by the Compensation Committee, whose determination will be conclusive.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Prohibition on Re-Pricing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adjustment as described under “Adjustments” immediately above, the Plan does not permit, without the approval of the Common Voting shareholders, what is commonly known as the “re-pricing” of stock options or SARs, including:</w:t>
      </w:r>
    </w:p>
    <w:p>
      <w:pPr>
        <w:spacing w:after="0" w:line="170" w:lineRule="exact"/>
        <w:rPr>
          <w:sz w:val="20"/>
          <w:szCs w:val="20"/>
          <w:color w:val="auto"/>
        </w:rPr>
      </w:pPr>
    </w:p>
    <w:p>
      <w:pPr>
        <w:ind w:left="420" w:hanging="358"/>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amendment to reduce the exercise price of any outstanding stock option or base price of any outstanding SAR;</w:t>
      </w:r>
    </w:p>
    <w:p>
      <w:pPr>
        <w:spacing w:after="0" w:line="225" w:lineRule="exact"/>
        <w:rPr>
          <w:rFonts w:ascii="Arial" w:cs="Arial" w:eastAsia="Arial" w:hAnsi="Arial"/>
          <w:sz w:val="18"/>
          <w:szCs w:val="18"/>
          <w:color w:val="auto"/>
        </w:rPr>
      </w:pPr>
    </w:p>
    <w:p>
      <w:pPr>
        <w:ind w:left="340" w:hanging="278"/>
        <w:spacing w:after="0" w:line="277" w:lineRule="auto"/>
        <w:tabs>
          <w:tab w:leader="none" w:pos="4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cancellation of an outstanding stock option or SAR and replacement with a stock option having a lower exercise price or with a SAR having a lower base price; and</w:t>
      </w:r>
    </w:p>
    <w:p>
      <w:pPr>
        <w:spacing w:after="0" w:line="170" w:lineRule="exact"/>
        <w:rPr>
          <w:rFonts w:ascii="Arial" w:cs="Arial" w:eastAsia="Arial" w:hAnsi="Arial"/>
          <w:sz w:val="18"/>
          <w:szCs w:val="18"/>
          <w:color w:val="auto"/>
        </w:rPr>
      </w:pPr>
    </w:p>
    <w:p>
      <w:pPr>
        <w:ind w:left="420" w:hanging="358"/>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cancellation of an outstanding stock option or SAR and replacement with another award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is limited to a summary of the U.S. federal income tax provisions relating to the grant, exercise and vesting of awards under the Plan. The tax consequences of awards may vary according to country of participation. Also, the tax consequences of the grant, exercise or vesting of awards vary depending upon the particular circumstances, and it should be noted that income tax laws, regulations and interpretations change frequently. Participants should rely upon their own tax advisors for advice concerning the specific tax consequences applicable to them, including the applicability and effect of state, local and foreign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to Participants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In general, (i) a participant will not recognize income at the time a nonqualified option is granted; (ii) a participant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at the time of exercise in an amount equal to the excess of the fair market value of the Shares on the date of exercise over the option price paid for the Shares; and (iii) at the time of sale of Shares acquired pursuant to the exercise of the nonqualified option, appreciation (or depreciation) in value of the Shares after the date of exercise will be treated as either short-term or long-term capital gain (or loss) depending on how long the Shares have been held.</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A participant will not recognize income at the time an incentive stock option is granted or exercised. However, the excess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Shares on the date of exercise over the option price paid may constitute a preference item for the alternative minimum tax. If Shares are issued or delivered to the optionee pursuant to the exercise of an incentive stock option, and if no disqualifying disposition of such Shares is made by such optionee within two (2) years after the date of the grant or within one (1) year after the issuance or delivery of such Shares to the optionee, then upon sale of such Shares, any amount realized in excess of the option price will be taxed to the optionee as a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as of the time of exercise (or, if less, the amount realized on the disposition of such Shares if a sale or exchange) over the option price paid for such Shares. Any further gain (or loss) realized by the participant generally will be taxed as short-term or long-term capital gain (or loss) depending on the holding period.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 participant will not recognize income upon the grant of a SAR. The participant generally will recognize ordinary income when the SAR is</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an amount equal to the cash and the fair market value of any unrestricted Shares received on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jc w:val="both"/>
        <w:spacing w:after="0" w:line="290" w:lineRule="auto"/>
        <w:rPr>
          <w:sz w:val="20"/>
          <w:szCs w:val="20"/>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 participant will not be subject to tax until the restricted Shares are no longer subject to forfeiture or restrictions on transfer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Section 83 of the Internal Revenue Code. At that time, the participant will be subject to tax at ordinary income rates on the fair market value of the restricted Shares (reduced by any amount paid by the participant for such restricted Shares). However, a participant who so elects under Section 83(b) of the Internal Revenue Code (“Section 83(b)”) within thirty (30) days of the date of transfer of the Shares will have taxable ordinary income on the date of transfer of the Shares equal to the excess of the fair market value of such Shares over the purchase price, if any, of such restricted Shares. Any appreciation (or depreciation) realized upon a later disposition of such Shares will be treated as long-term or short-term capital gain depending upon how long the Shares have been held. If a Section 83(b) election has not been made, any dividends received with respect to restricted Shares that are subject to forfeiture and restrictions on transfer generally will be treated as compensation that is taxable as ordinary income to the participant.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Unrestricted “Bonus” Stock</w:t>
      </w:r>
      <w:r>
        <w:rPr>
          <w:rFonts w:ascii="Arial" w:cs="Arial" w:eastAsia="Arial" w:hAnsi="Arial"/>
          <w:sz w:val="18"/>
          <w:szCs w:val="18"/>
          <w:color w:val="auto"/>
        </w:rPr>
        <w:t>. A participant will recognize ordinary income upon the grant of an unrestricted “bonus” stock award equal to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received by the participant.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Restricted Share Units, Performance Shares, Performance Units</w:t>
      </w:r>
      <w:r>
        <w:rPr>
          <w:rFonts w:ascii="Arial" w:cs="Arial" w:eastAsia="Arial" w:hAnsi="Arial"/>
          <w:sz w:val="18"/>
          <w:szCs w:val="18"/>
          <w:color w:val="auto"/>
        </w:rPr>
        <w:t>. A participant will not recognize income upon the grant of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or performance units. Upon payment of the awards, the participant generally will recognize ordinary income in an amount equal to the cash and the fair market value of any unrestricted Shares received.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ESPP</w:t>
      </w:r>
      <w:r>
        <w:rPr>
          <w:rFonts w:ascii="Arial" w:cs="Arial" w:eastAsia="Arial" w:hAnsi="Arial"/>
          <w:sz w:val="18"/>
          <w:szCs w:val="18"/>
          <w:color w:val="auto"/>
        </w:rPr>
        <w:t>. In general, (i) no income will be recognized by a participant at the time a purchase right is granted; (ii) at the time of exercise of the purchase right,</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will be recognized by the participant in an amount equal to the difference between the price paid for the Shares and the fair market value of the Shares on the date of purchase; and (iii) at the time of sale of Shares acquired pursuant to the purchase right, appreciation (or depreciation) in value of the Shares after the date of purchase will be treated as either short-term or long-term capital gain (or loss) depending on how long the Shares have been held.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Any dividend equivalents awarded with respect to awards granted under the Plan and paid in cash or unrestricted Shares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taxed to the participant at ordinary income rates when received by the participant.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The Plan permits the grant of various types of awards that may or may not be exempt from Section 409A. If an award is subject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409A, and if the requirements of Section 409A are not met, the taxable events as described above could apply earlier than described and could result in the imposition of additional taxes and penalties. Restricted share awards, unrestricted share awards, stock options and stock appreciation rights that comply with the terms of the Plan are designed to be exempt from the application of Section 409A. Restricted share units, performance Shares, performance units and dividend equivalents granted under the Plan will be subject to Section 409A unless they are designed to satisfy the short-term deferral exemption (or another applicable exception). If not exempt, those awards will be designed to meet the requirements of Section 409A in order to avoid early taxation and penalties.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to the Company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that a participant recognizes ordinary income in the circumstances described above, the Company, or a subsidiary for which the participant performs services, will be entitled to a corresponding compensation deduction provided that, among other things, the compensation meets the test of reasonableness, is an ordinary and necessary business expense, is not an “excess parachute payment” within the meaning of Section 280G of the Internal Revenue Code, and is not disallowed by the $1 million limitation on executive compensation under Section 162(m).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the Compensation Committee has discretion to determine which employees and non-employee directors will receive awards under the Plan and the amount and type of those awards, future benefits to be received by a person or group under the Plan are not determinable at this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with the SEC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file a Registration Statement on Form S-8 relating to the issuance of additional Shares under the Plan with the Securities and Exchange Commission pursuant to the Securities Act of 1933, as amended, after approval of the Plan, as amended and restated, by the holders of Common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Vote Requirement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in person or by proxy by the holders of the Common Voting Shares represented and entitled to vote at the meeting. The Board recommends that holders of such Shares vote FOR the approval of Proposal 4. Proxies for Common Voting Shares solicited by the Board will be voted FOR Proposal 4 unless shareholders specify a contrary choice in their proxies. Broker non-votes will not be treated as votes cast and will not have a positive or negative effect on the actions of Proposal 4. Abstentions will be treated as votes cast and, consequently will have the same effect as votes against Proposal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as of December 31, 2020, about our equity compensation plans under which awards are currently outstanding.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1400" w:type="dxa"/>
            <w:vAlign w:val="bottom"/>
            <w:gridSpan w:val="2"/>
            <w:shd w:val="clear" w:color="auto" w:fill="E7E7E8"/>
          </w:tcPr>
          <w:p>
            <w:pPr>
              <w:jc w:val="center"/>
              <w:ind w:right="220"/>
              <w:spacing w:after="0"/>
              <w:rPr>
                <w:sz w:val="20"/>
                <w:szCs w:val="20"/>
                <w:color w:val="auto"/>
              </w:rPr>
            </w:pPr>
            <w:r>
              <w:rPr>
                <w:rFonts w:ascii="Arial" w:cs="Arial" w:eastAsia="Arial" w:hAnsi="Arial"/>
                <w:sz w:val="14"/>
                <w:szCs w:val="14"/>
                <w:b w:val="1"/>
                <w:bCs w:val="1"/>
                <w:color w:val="0033A0"/>
                <w:w w:val="94"/>
              </w:rPr>
              <w:t>Number of</w:t>
            </w:r>
          </w:p>
        </w:tc>
        <w:tc>
          <w:tcPr>
            <w:tcW w:w="0" w:type="dxa"/>
            <w:vAlign w:val="bottom"/>
          </w:tcPr>
          <w:p>
            <w:pPr>
              <w:spacing w:after="0"/>
              <w:rPr>
                <w:sz w:val="1"/>
                <w:szCs w:val="1"/>
                <w:color w:val="auto"/>
              </w:rPr>
            </w:pPr>
          </w:p>
        </w:tc>
      </w:tr>
      <w:tr>
        <w:trPr>
          <w:trHeight w:val="148"/>
        </w:trPr>
        <w:tc>
          <w:tcPr>
            <w:tcW w:w="640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86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86"/>
              </w:rPr>
              <w:t>Securities</w:t>
            </w:r>
          </w:p>
        </w:tc>
        <w:tc>
          <w:tcPr>
            <w:tcW w:w="0" w:type="dxa"/>
            <w:vAlign w:val="bottom"/>
          </w:tcPr>
          <w:p>
            <w:pPr>
              <w:spacing w:after="0"/>
              <w:rPr>
                <w:sz w:val="1"/>
                <w:szCs w:val="1"/>
                <w:color w:val="auto"/>
              </w:rPr>
            </w:pPr>
          </w:p>
        </w:tc>
      </w:tr>
      <w:tr>
        <w:trPr>
          <w:trHeight w:val="149"/>
        </w:trPr>
        <w:tc>
          <w:tcPr>
            <w:tcW w:w="640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1280" w:type="dxa"/>
            <w:vAlign w:val="bottom"/>
            <w:gridSpan w:val="2"/>
            <w:vMerge w:val="restart"/>
            <w:shd w:val="clear" w:color="auto" w:fill="E7E7E8"/>
          </w:tcPr>
          <w:p>
            <w:pPr>
              <w:jc w:val="center"/>
              <w:ind w:right="120"/>
              <w:spacing w:after="0"/>
              <w:rPr>
                <w:sz w:val="20"/>
                <w:szCs w:val="20"/>
                <w:color w:val="auto"/>
              </w:rPr>
            </w:pPr>
            <w:r>
              <w:rPr>
                <w:rFonts w:ascii="Arial" w:cs="Arial" w:eastAsia="Arial" w:hAnsi="Arial"/>
                <w:sz w:val="14"/>
                <w:szCs w:val="14"/>
                <w:b w:val="1"/>
                <w:bCs w:val="1"/>
                <w:color w:val="0033A0"/>
                <w:w w:val="94"/>
              </w:rPr>
              <w:t>Weighted-</w:t>
            </w: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92"/>
              </w:rPr>
              <w:t>Remaining</w:t>
            </w:r>
          </w:p>
        </w:tc>
        <w:tc>
          <w:tcPr>
            <w:tcW w:w="0" w:type="dxa"/>
            <w:vAlign w:val="bottom"/>
          </w:tcPr>
          <w:p>
            <w:pPr>
              <w:spacing w:after="0"/>
              <w:rPr>
                <w:sz w:val="1"/>
                <w:szCs w:val="1"/>
                <w:color w:val="auto"/>
              </w:rPr>
            </w:pPr>
          </w:p>
        </w:tc>
      </w:tr>
      <w:tr>
        <w:trPr>
          <w:trHeight w:val="148"/>
        </w:trPr>
        <w:tc>
          <w:tcPr>
            <w:tcW w:w="640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1280" w:type="dxa"/>
            <w:vAlign w:val="bottom"/>
            <w:gridSpan w:val="2"/>
            <w:vMerge w:val="continue"/>
            <w:shd w:val="clear" w:color="auto" w:fill="E7E7E8"/>
          </w:tcPr>
          <w:p>
            <w:pPr>
              <w:spacing w:after="0"/>
              <w:rPr>
                <w:sz w:val="12"/>
                <w:szCs w:val="12"/>
                <w:color w:val="auto"/>
              </w:rPr>
            </w:pP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92"/>
              </w:rPr>
              <w:t>Available for</w:t>
            </w:r>
          </w:p>
        </w:tc>
        <w:tc>
          <w:tcPr>
            <w:tcW w:w="0" w:type="dxa"/>
            <w:vAlign w:val="bottom"/>
          </w:tcPr>
          <w:p>
            <w:pPr>
              <w:spacing w:after="0"/>
              <w:rPr>
                <w:sz w:val="1"/>
                <w:szCs w:val="1"/>
                <w:color w:val="auto"/>
              </w:rPr>
            </w:pPr>
          </w:p>
        </w:tc>
      </w:tr>
      <w:tr>
        <w:trPr>
          <w:trHeight w:val="148"/>
        </w:trPr>
        <w:tc>
          <w:tcPr>
            <w:tcW w:w="6400" w:type="dxa"/>
            <w:vAlign w:val="bottom"/>
            <w:shd w:val="clear" w:color="auto" w:fill="E7E7E8"/>
          </w:tcPr>
          <w:p>
            <w:pPr>
              <w:spacing w:after="0"/>
              <w:rPr>
                <w:sz w:val="12"/>
                <w:szCs w:val="12"/>
                <w:color w:val="auto"/>
              </w:rPr>
            </w:pPr>
          </w:p>
        </w:tc>
        <w:tc>
          <w:tcPr>
            <w:tcW w:w="1120" w:type="dxa"/>
            <w:vAlign w:val="bottom"/>
            <w:shd w:val="clear" w:color="auto" w:fill="E7E7E8"/>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1280" w:type="dxa"/>
            <w:vAlign w:val="bottom"/>
            <w:gridSpan w:val="2"/>
            <w:shd w:val="clear" w:color="auto" w:fill="E7E7E8"/>
          </w:tcPr>
          <w:p>
            <w:pPr>
              <w:jc w:val="center"/>
              <w:ind w:right="100"/>
              <w:spacing w:after="0" w:line="149" w:lineRule="exact"/>
              <w:rPr>
                <w:sz w:val="20"/>
                <w:szCs w:val="20"/>
                <w:color w:val="auto"/>
              </w:rPr>
            </w:pPr>
            <w:r>
              <w:rPr>
                <w:rFonts w:ascii="Arial" w:cs="Arial" w:eastAsia="Arial" w:hAnsi="Arial"/>
                <w:sz w:val="14"/>
                <w:szCs w:val="14"/>
                <w:b w:val="1"/>
                <w:bCs w:val="1"/>
                <w:color w:val="0033A0"/>
                <w:w w:val="90"/>
              </w:rPr>
              <w:t>Average</w:t>
            </w: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91"/>
              </w:rPr>
              <w:t>Future Issuance</w:t>
            </w:r>
          </w:p>
        </w:tc>
        <w:tc>
          <w:tcPr>
            <w:tcW w:w="0" w:type="dxa"/>
            <w:vAlign w:val="bottom"/>
          </w:tcPr>
          <w:p>
            <w:pPr>
              <w:spacing w:after="0"/>
              <w:rPr>
                <w:sz w:val="1"/>
                <w:szCs w:val="1"/>
                <w:color w:val="auto"/>
              </w:rPr>
            </w:pPr>
          </w:p>
        </w:tc>
      </w:tr>
      <w:tr>
        <w:trPr>
          <w:trHeight w:val="148"/>
        </w:trPr>
        <w:tc>
          <w:tcPr>
            <w:tcW w:w="6400" w:type="dxa"/>
            <w:vAlign w:val="bottom"/>
            <w:shd w:val="clear" w:color="auto" w:fill="E7E7E8"/>
          </w:tcPr>
          <w:p>
            <w:pPr>
              <w:spacing w:after="0"/>
              <w:rPr>
                <w:sz w:val="12"/>
                <w:szCs w:val="12"/>
                <w:color w:val="auto"/>
              </w:rPr>
            </w:pPr>
          </w:p>
        </w:tc>
        <w:tc>
          <w:tcPr>
            <w:tcW w:w="1700" w:type="dxa"/>
            <w:vAlign w:val="bottom"/>
            <w:gridSpan w:val="2"/>
            <w:vMerge w:val="restart"/>
            <w:shd w:val="clear" w:color="auto" w:fill="E7E7E8"/>
          </w:tcPr>
          <w:p>
            <w:pPr>
              <w:jc w:val="right"/>
              <w:ind w:right="200"/>
              <w:spacing w:after="0"/>
              <w:rPr>
                <w:sz w:val="20"/>
                <w:szCs w:val="20"/>
                <w:color w:val="auto"/>
              </w:rPr>
            </w:pPr>
            <w:r>
              <w:rPr>
                <w:rFonts w:ascii="Arial" w:cs="Arial" w:eastAsia="Arial" w:hAnsi="Arial"/>
                <w:sz w:val="14"/>
                <w:szCs w:val="14"/>
                <w:b w:val="1"/>
                <w:bCs w:val="1"/>
                <w:color w:val="0033A0"/>
                <w:w w:val="93"/>
              </w:rPr>
              <w:t>Number of Securities to</w:t>
            </w:r>
          </w:p>
        </w:tc>
        <w:tc>
          <w:tcPr>
            <w:tcW w:w="220" w:type="dxa"/>
            <w:vAlign w:val="bottom"/>
            <w:shd w:val="clear" w:color="auto" w:fill="E7E7E8"/>
          </w:tcPr>
          <w:p>
            <w:pPr>
              <w:spacing w:after="0"/>
              <w:rPr>
                <w:sz w:val="12"/>
                <w:szCs w:val="12"/>
                <w:color w:val="auto"/>
              </w:rPr>
            </w:pPr>
          </w:p>
        </w:tc>
        <w:tc>
          <w:tcPr>
            <w:tcW w:w="1280" w:type="dxa"/>
            <w:vAlign w:val="bottom"/>
            <w:gridSpan w:val="2"/>
            <w:shd w:val="clear" w:color="auto" w:fill="E7E7E8"/>
          </w:tcPr>
          <w:p>
            <w:pPr>
              <w:jc w:val="center"/>
              <w:ind w:right="120"/>
              <w:spacing w:after="0" w:line="149" w:lineRule="exact"/>
              <w:rPr>
                <w:sz w:val="20"/>
                <w:szCs w:val="20"/>
                <w:color w:val="auto"/>
              </w:rPr>
            </w:pPr>
            <w:r>
              <w:rPr>
                <w:rFonts w:ascii="Arial" w:cs="Arial" w:eastAsia="Arial" w:hAnsi="Arial"/>
                <w:sz w:val="14"/>
                <w:szCs w:val="14"/>
                <w:b w:val="1"/>
                <w:bCs w:val="1"/>
                <w:color w:val="0033A0"/>
                <w:w w:val="91"/>
              </w:rPr>
              <w:t>Exercise Price</w:t>
            </w: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98"/>
              </w:rPr>
              <w:t>Under Equity</w:t>
            </w:r>
          </w:p>
        </w:tc>
        <w:tc>
          <w:tcPr>
            <w:tcW w:w="0" w:type="dxa"/>
            <w:vAlign w:val="bottom"/>
          </w:tcPr>
          <w:p>
            <w:pPr>
              <w:spacing w:after="0"/>
              <w:rPr>
                <w:sz w:val="1"/>
                <w:szCs w:val="1"/>
                <w:color w:val="auto"/>
              </w:rPr>
            </w:pPr>
          </w:p>
        </w:tc>
      </w:tr>
      <w:tr>
        <w:trPr>
          <w:trHeight w:val="148"/>
        </w:trPr>
        <w:tc>
          <w:tcPr>
            <w:tcW w:w="6400" w:type="dxa"/>
            <w:vAlign w:val="bottom"/>
            <w:shd w:val="clear" w:color="auto" w:fill="E7E7E8"/>
          </w:tcPr>
          <w:p>
            <w:pPr>
              <w:spacing w:after="0"/>
              <w:rPr>
                <w:sz w:val="12"/>
                <w:szCs w:val="12"/>
                <w:color w:val="auto"/>
              </w:rPr>
            </w:pPr>
          </w:p>
        </w:tc>
        <w:tc>
          <w:tcPr>
            <w:tcW w:w="1700" w:type="dxa"/>
            <w:vAlign w:val="bottom"/>
            <w:gridSpan w:val="2"/>
            <w:vMerge w:val="continue"/>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1280" w:type="dxa"/>
            <w:vAlign w:val="bottom"/>
            <w:gridSpan w:val="2"/>
            <w:shd w:val="clear" w:color="auto" w:fill="E7E7E8"/>
          </w:tcPr>
          <w:p>
            <w:pPr>
              <w:jc w:val="center"/>
              <w:ind w:right="120"/>
              <w:spacing w:after="0" w:line="149" w:lineRule="exact"/>
              <w:rPr>
                <w:sz w:val="20"/>
                <w:szCs w:val="20"/>
                <w:color w:val="auto"/>
              </w:rPr>
            </w:pPr>
            <w:r>
              <w:rPr>
                <w:rFonts w:ascii="Arial" w:cs="Arial" w:eastAsia="Arial" w:hAnsi="Arial"/>
                <w:sz w:val="14"/>
                <w:szCs w:val="14"/>
                <w:b w:val="1"/>
                <w:bCs w:val="1"/>
                <w:color w:val="0033A0"/>
                <w:w w:val="92"/>
              </w:rPr>
              <w:t>of Outstanding</w:t>
            </w: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92"/>
              </w:rPr>
              <w:t>Compensation</w:t>
            </w:r>
          </w:p>
        </w:tc>
        <w:tc>
          <w:tcPr>
            <w:tcW w:w="0" w:type="dxa"/>
            <w:vAlign w:val="bottom"/>
          </w:tcPr>
          <w:p>
            <w:pPr>
              <w:spacing w:after="0"/>
              <w:rPr>
                <w:sz w:val="1"/>
                <w:szCs w:val="1"/>
                <w:color w:val="auto"/>
              </w:rPr>
            </w:pPr>
          </w:p>
        </w:tc>
      </w:tr>
      <w:tr>
        <w:trPr>
          <w:trHeight w:val="149"/>
        </w:trPr>
        <w:tc>
          <w:tcPr>
            <w:tcW w:w="6400" w:type="dxa"/>
            <w:vAlign w:val="bottom"/>
            <w:shd w:val="clear" w:color="auto" w:fill="E7E7E8"/>
          </w:tcPr>
          <w:p>
            <w:pPr>
              <w:spacing w:after="0"/>
              <w:rPr>
                <w:sz w:val="12"/>
                <w:szCs w:val="12"/>
                <w:color w:val="auto"/>
              </w:rPr>
            </w:pPr>
          </w:p>
        </w:tc>
        <w:tc>
          <w:tcPr>
            <w:tcW w:w="1700" w:type="dxa"/>
            <w:vAlign w:val="bottom"/>
            <w:gridSpan w:val="2"/>
            <w:shd w:val="clear" w:color="auto" w:fill="E7E7E8"/>
          </w:tcPr>
          <w:p>
            <w:pPr>
              <w:jc w:val="right"/>
              <w:ind w:right="180"/>
              <w:spacing w:after="0" w:line="149" w:lineRule="exact"/>
              <w:rPr>
                <w:sz w:val="20"/>
                <w:szCs w:val="20"/>
                <w:color w:val="auto"/>
              </w:rPr>
            </w:pPr>
            <w:r>
              <w:rPr>
                <w:rFonts w:ascii="Arial" w:cs="Arial" w:eastAsia="Arial" w:hAnsi="Arial"/>
                <w:sz w:val="14"/>
                <w:szCs w:val="14"/>
                <w:b w:val="1"/>
                <w:bCs w:val="1"/>
                <w:color w:val="0033A0"/>
                <w:w w:val="90"/>
              </w:rPr>
              <w:t>be Issued Upon Exercise</w:t>
            </w:r>
          </w:p>
        </w:tc>
        <w:tc>
          <w:tcPr>
            <w:tcW w:w="220" w:type="dxa"/>
            <w:vAlign w:val="bottom"/>
            <w:shd w:val="clear" w:color="auto" w:fill="E7E7E8"/>
          </w:tcPr>
          <w:p>
            <w:pPr>
              <w:spacing w:after="0"/>
              <w:rPr>
                <w:sz w:val="12"/>
                <w:szCs w:val="12"/>
                <w:color w:val="auto"/>
              </w:rPr>
            </w:pPr>
          </w:p>
        </w:tc>
        <w:tc>
          <w:tcPr>
            <w:tcW w:w="1280" w:type="dxa"/>
            <w:vAlign w:val="bottom"/>
            <w:gridSpan w:val="2"/>
            <w:shd w:val="clear" w:color="auto" w:fill="E7E7E8"/>
          </w:tcPr>
          <w:p>
            <w:pPr>
              <w:jc w:val="center"/>
              <w:ind w:right="120"/>
              <w:spacing w:after="0" w:line="149" w:lineRule="exact"/>
              <w:rPr>
                <w:sz w:val="20"/>
                <w:szCs w:val="20"/>
                <w:color w:val="auto"/>
              </w:rPr>
            </w:pPr>
            <w:r>
              <w:rPr>
                <w:rFonts w:ascii="Arial" w:cs="Arial" w:eastAsia="Arial" w:hAnsi="Arial"/>
                <w:sz w:val="14"/>
                <w:szCs w:val="14"/>
                <w:b w:val="1"/>
                <w:bCs w:val="1"/>
                <w:color w:val="0033A0"/>
                <w:w w:val="91"/>
              </w:rPr>
              <w:t>Options,</w:t>
            </w:r>
          </w:p>
        </w:tc>
        <w:tc>
          <w:tcPr>
            <w:tcW w:w="240" w:type="dxa"/>
            <w:vAlign w:val="bottom"/>
            <w:shd w:val="clear" w:color="auto" w:fill="E7E7E8"/>
          </w:tcPr>
          <w:p>
            <w:pPr>
              <w:spacing w:after="0"/>
              <w:rPr>
                <w:sz w:val="12"/>
                <w:szCs w:val="12"/>
                <w:color w:val="auto"/>
              </w:rPr>
            </w:pPr>
          </w:p>
        </w:tc>
        <w:tc>
          <w:tcPr>
            <w:tcW w:w="1400" w:type="dxa"/>
            <w:vAlign w:val="bottom"/>
            <w:gridSpan w:val="2"/>
            <w:shd w:val="clear" w:color="auto" w:fill="E7E7E8"/>
          </w:tcPr>
          <w:p>
            <w:pPr>
              <w:jc w:val="center"/>
              <w:ind w:right="220"/>
              <w:spacing w:after="0" w:line="149" w:lineRule="exact"/>
              <w:rPr>
                <w:sz w:val="20"/>
                <w:szCs w:val="20"/>
                <w:color w:val="auto"/>
              </w:rPr>
            </w:pPr>
            <w:r>
              <w:rPr>
                <w:rFonts w:ascii="Arial" w:cs="Arial" w:eastAsia="Arial" w:hAnsi="Arial"/>
                <w:sz w:val="14"/>
                <w:szCs w:val="14"/>
                <w:b w:val="1"/>
                <w:bCs w:val="1"/>
                <w:color w:val="0033A0"/>
                <w:w w:val="93"/>
              </w:rPr>
              <w:t>Plans (Excluding</w:t>
            </w:r>
          </w:p>
        </w:tc>
        <w:tc>
          <w:tcPr>
            <w:tcW w:w="0" w:type="dxa"/>
            <w:vAlign w:val="bottom"/>
          </w:tcPr>
          <w:p>
            <w:pPr>
              <w:spacing w:after="0"/>
              <w:rPr>
                <w:sz w:val="1"/>
                <w:szCs w:val="1"/>
                <w:color w:val="auto"/>
              </w:rPr>
            </w:pPr>
          </w:p>
        </w:tc>
      </w:tr>
      <w:tr>
        <w:trPr>
          <w:trHeight w:val="148"/>
        </w:trPr>
        <w:tc>
          <w:tcPr>
            <w:tcW w:w="6400" w:type="dxa"/>
            <w:vAlign w:val="bottom"/>
            <w:vMerge w:val="restart"/>
            <w:shd w:val="clear" w:color="auto" w:fill="E7E7E8"/>
          </w:tcPr>
          <w:p>
            <w:pPr>
              <w:ind w:left="140"/>
              <w:spacing w:after="0"/>
              <w:rPr>
                <w:sz w:val="20"/>
                <w:szCs w:val="20"/>
                <w:color w:val="auto"/>
              </w:rPr>
            </w:pPr>
            <w:r>
              <w:rPr>
                <w:rFonts w:ascii="Arial" w:cs="Arial" w:eastAsia="Arial" w:hAnsi="Arial"/>
                <w:sz w:val="14"/>
                <w:szCs w:val="14"/>
                <w:b w:val="1"/>
                <w:bCs w:val="1"/>
                <w:color w:val="0033A0"/>
              </w:rPr>
              <w:t>Plan Category</w:t>
            </w:r>
          </w:p>
        </w:tc>
        <w:tc>
          <w:tcPr>
            <w:tcW w:w="1700" w:type="dxa"/>
            <w:vAlign w:val="bottom"/>
            <w:gridSpan w:val="2"/>
            <w:shd w:val="clear" w:color="auto" w:fill="E7E7E8"/>
          </w:tcPr>
          <w:p>
            <w:pPr>
              <w:jc w:val="right"/>
              <w:ind w:right="180"/>
              <w:spacing w:after="0" w:line="149" w:lineRule="exact"/>
              <w:rPr>
                <w:sz w:val="20"/>
                <w:szCs w:val="20"/>
                <w:color w:val="auto"/>
              </w:rPr>
            </w:pPr>
            <w:r>
              <w:rPr>
                <w:rFonts w:ascii="Arial" w:cs="Arial" w:eastAsia="Arial" w:hAnsi="Arial"/>
                <w:sz w:val="14"/>
                <w:szCs w:val="14"/>
                <w:b w:val="1"/>
                <w:bCs w:val="1"/>
                <w:color w:val="0033A0"/>
                <w:w w:val="93"/>
              </w:rPr>
              <w:t>of Outstanding Options,</w:t>
            </w:r>
          </w:p>
        </w:tc>
        <w:tc>
          <w:tcPr>
            <w:tcW w:w="220" w:type="dxa"/>
            <w:vAlign w:val="bottom"/>
            <w:shd w:val="clear" w:color="auto" w:fill="E7E7E8"/>
          </w:tcPr>
          <w:p>
            <w:pPr>
              <w:spacing w:after="0"/>
              <w:rPr>
                <w:sz w:val="12"/>
                <w:szCs w:val="12"/>
                <w:color w:val="auto"/>
              </w:rPr>
            </w:pPr>
          </w:p>
        </w:tc>
        <w:tc>
          <w:tcPr>
            <w:tcW w:w="1280" w:type="dxa"/>
            <w:vAlign w:val="bottom"/>
            <w:gridSpan w:val="2"/>
            <w:shd w:val="clear" w:color="auto" w:fill="E7E7E8"/>
          </w:tcPr>
          <w:p>
            <w:pPr>
              <w:jc w:val="center"/>
              <w:ind w:right="100"/>
              <w:spacing w:after="0" w:line="149" w:lineRule="exact"/>
              <w:rPr>
                <w:sz w:val="20"/>
                <w:szCs w:val="20"/>
                <w:color w:val="auto"/>
              </w:rPr>
            </w:pPr>
            <w:r>
              <w:rPr>
                <w:rFonts w:ascii="Arial" w:cs="Arial" w:eastAsia="Arial" w:hAnsi="Arial"/>
                <w:sz w:val="14"/>
                <w:szCs w:val="14"/>
                <w:b w:val="1"/>
                <w:bCs w:val="1"/>
                <w:color w:val="0033A0"/>
                <w:w w:val="96"/>
              </w:rPr>
              <w:t>Warrants and</w:t>
            </w:r>
          </w:p>
        </w:tc>
        <w:tc>
          <w:tcPr>
            <w:tcW w:w="1640" w:type="dxa"/>
            <w:vAlign w:val="bottom"/>
            <w:gridSpan w:val="3"/>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0033A0"/>
                <w:w w:val="91"/>
              </w:rPr>
              <w:t>Securities Reflected</w:t>
            </w:r>
          </w:p>
        </w:tc>
        <w:tc>
          <w:tcPr>
            <w:tcW w:w="0" w:type="dxa"/>
            <w:vAlign w:val="bottom"/>
          </w:tcPr>
          <w:p>
            <w:pPr>
              <w:spacing w:after="0"/>
              <w:rPr>
                <w:sz w:val="1"/>
                <w:szCs w:val="1"/>
                <w:color w:val="auto"/>
              </w:rPr>
            </w:pPr>
          </w:p>
        </w:tc>
      </w:tr>
      <w:tr>
        <w:trPr>
          <w:trHeight w:val="178"/>
        </w:trPr>
        <w:tc>
          <w:tcPr>
            <w:tcW w:w="6400" w:type="dxa"/>
            <w:vAlign w:val="bottom"/>
            <w:tcBorders>
              <w:bottom w:val="single" w:sz="8" w:color="BFBFBF"/>
            </w:tcBorders>
            <w:vMerge w:val="continue"/>
            <w:shd w:val="clear" w:color="auto" w:fill="E7E7E8"/>
          </w:tcPr>
          <w:p>
            <w:pPr>
              <w:spacing w:after="0"/>
              <w:rPr>
                <w:sz w:val="15"/>
                <w:szCs w:val="15"/>
                <w:color w:val="auto"/>
              </w:rPr>
            </w:pPr>
          </w:p>
        </w:tc>
        <w:tc>
          <w:tcPr>
            <w:tcW w:w="1700" w:type="dxa"/>
            <w:vAlign w:val="bottom"/>
            <w:tcBorders>
              <w:bottom w:val="single" w:sz="8" w:color="BFBFBF"/>
            </w:tcBorders>
            <w:gridSpan w:val="2"/>
            <w:shd w:val="clear" w:color="auto" w:fill="E7E7E8"/>
          </w:tcPr>
          <w:p>
            <w:pPr>
              <w:jc w:val="right"/>
              <w:ind w:right="180"/>
              <w:spacing w:after="0"/>
              <w:rPr>
                <w:sz w:val="20"/>
                <w:szCs w:val="20"/>
                <w:color w:val="auto"/>
              </w:rPr>
            </w:pPr>
            <w:r>
              <w:rPr>
                <w:rFonts w:ascii="Arial" w:cs="Arial" w:eastAsia="Arial" w:hAnsi="Arial"/>
                <w:sz w:val="14"/>
                <w:szCs w:val="14"/>
                <w:b w:val="1"/>
                <w:bCs w:val="1"/>
                <w:color w:val="0033A0"/>
                <w:w w:val="94"/>
              </w:rPr>
              <w:t>Warrants and Rights (a)</w:t>
            </w:r>
          </w:p>
        </w:tc>
        <w:tc>
          <w:tcPr>
            <w:tcW w:w="220" w:type="dxa"/>
            <w:vAlign w:val="bottom"/>
            <w:tcBorders>
              <w:bottom w:val="single" w:sz="8" w:color="BFBFBF"/>
            </w:tcBorders>
            <w:shd w:val="clear" w:color="auto" w:fill="E7E7E8"/>
          </w:tcPr>
          <w:p>
            <w:pPr>
              <w:spacing w:after="0"/>
              <w:rPr>
                <w:sz w:val="15"/>
                <w:szCs w:val="15"/>
                <w:color w:val="auto"/>
              </w:rPr>
            </w:pPr>
          </w:p>
        </w:tc>
        <w:tc>
          <w:tcPr>
            <w:tcW w:w="1280" w:type="dxa"/>
            <w:vAlign w:val="bottom"/>
            <w:tcBorders>
              <w:bottom w:val="single" w:sz="8" w:color="BFBFBF"/>
            </w:tcBorders>
            <w:gridSpan w:val="2"/>
            <w:shd w:val="clear" w:color="auto" w:fill="E7E7E8"/>
          </w:tcPr>
          <w:p>
            <w:pPr>
              <w:jc w:val="center"/>
              <w:ind w:right="100"/>
              <w:spacing w:after="0"/>
              <w:rPr>
                <w:sz w:val="20"/>
                <w:szCs w:val="20"/>
                <w:color w:val="auto"/>
              </w:rPr>
            </w:pPr>
            <w:r>
              <w:rPr>
                <w:rFonts w:ascii="Arial" w:cs="Arial" w:eastAsia="Arial" w:hAnsi="Arial"/>
                <w:sz w:val="14"/>
                <w:szCs w:val="14"/>
                <w:b w:val="1"/>
                <w:bCs w:val="1"/>
                <w:color w:val="0033A0"/>
                <w:w w:val="94"/>
              </w:rPr>
              <w:t>Rights (b)</w:t>
            </w:r>
          </w:p>
        </w:tc>
        <w:tc>
          <w:tcPr>
            <w:tcW w:w="240" w:type="dxa"/>
            <w:vAlign w:val="bottom"/>
            <w:tcBorders>
              <w:bottom w:val="single" w:sz="8" w:color="BFBFBF"/>
            </w:tcBorders>
            <w:shd w:val="clear" w:color="auto" w:fill="E7E7E8"/>
          </w:tcPr>
          <w:p>
            <w:pPr>
              <w:spacing w:after="0"/>
              <w:rPr>
                <w:sz w:val="15"/>
                <w:szCs w:val="15"/>
                <w:color w:val="auto"/>
              </w:rPr>
            </w:pPr>
          </w:p>
        </w:tc>
        <w:tc>
          <w:tcPr>
            <w:tcW w:w="1400" w:type="dxa"/>
            <w:vAlign w:val="bottom"/>
            <w:tcBorders>
              <w:bottom w:val="single" w:sz="8" w:color="BFBFBF"/>
            </w:tcBorders>
            <w:gridSpan w:val="2"/>
            <w:shd w:val="clear" w:color="auto" w:fill="E7E7E8"/>
          </w:tcPr>
          <w:p>
            <w:pPr>
              <w:jc w:val="center"/>
              <w:ind w:right="220"/>
              <w:spacing w:after="0"/>
              <w:rPr>
                <w:sz w:val="20"/>
                <w:szCs w:val="20"/>
                <w:color w:val="auto"/>
              </w:rPr>
            </w:pPr>
            <w:r>
              <w:rPr>
                <w:rFonts w:ascii="Arial" w:cs="Arial" w:eastAsia="Arial" w:hAnsi="Arial"/>
                <w:sz w:val="14"/>
                <w:szCs w:val="14"/>
                <w:b w:val="1"/>
                <w:bCs w:val="1"/>
                <w:color w:val="0033A0"/>
                <w:w w:val="95"/>
              </w:rPr>
              <w:t>in Column (a)) (c)</w:t>
            </w:r>
          </w:p>
        </w:tc>
        <w:tc>
          <w:tcPr>
            <w:tcW w:w="0" w:type="dxa"/>
            <w:vAlign w:val="bottom"/>
          </w:tcPr>
          <w:p>
            <w:pPr>
              <w:spacing w:after="0"/>
              <w:rPr>
                <w:sz w:val="1"/>
                <w:szCs w:val="1"/>
                <w:color w:val="auto"/>
              </w:rPr>
            </w:pPr>
          </w:p>
        </w:tc>
      </w:tr>
      <w:tr>
        <w:trPr>
          <w:trHeight w:val="152"/>
        </w:trPr>
        <w:tc>
          <w:tcPr>
            <w:tcW w:w="6400" w:type="dxa"/>
            <w:vAlign w:val="bottom"/>
            <w:vMerge w:val="restart"/>
          </w:tcPr>
          <w:p>
            <w:pPr>
              <w:ind w:left="140"/>
              <w:spacing w:after="0"/>
              <w:rPr>
                <w:sz w:val="20"/>
                <w:szCs w:val="20"/>
                <w:color w:val="auto"/>
              </w:rPr>
            </w:pPr>
            <w:r>
              <w:rPr>
                <w:rFonts w:ascii="Arial" w:cs="Arial" w:eastAsia="Arial" w:hAnsi="Arial"/>
                <w:sz w:val="18"/>
                <w:szCs w:val="18"/>
                <w:color w:val="auto"/>
              </w:rPr>
              <w:t>Equity compensation plans approved by security holders</w:t>
            </w:r>
          </w:p>
        </w:tc>
        <w:tc>
          <w:tcPr>
            <w:tcW w:w="1700" w:type="dxa"/>
            <w:vAlign w:val="bottom"/>
            <w:gridSpan w:val="2"/>
          </w:tcPr>
          <w:p>
            <w:pPr>
              <w:jc w:val="right"/>
              <w:ind w:right="100"/>
              <w:spacing w:after="0" w:line="152" w:lineRule="exact"/>
              <w:rPr>
                <w:sz w:val="20"/>
                <w:szCs w:val="20"/>
                <w:color w:val="auto"/>
              </w:rPr>
            </w:pPr>
            <w:r>
              <w:rPr>
                <w:rFonts w:ascii="Arial" w:cs="Arial" w:eastAsia="Arial" w:hAnsi="Arial"/>
                <w:sz w:val="15"/>
                <w:szCs w:val="15"/>
                <w:color w:val="auto"/>
              </w:rPr>
              <w:t>(1)(3)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17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 xml:space="preserve">2,295,515  </w:t>
            </w:r>
            <w:r>
              <w:rPr>
                <w:rFonts w:ascii="Arial" w:cs="Arial" w:eastAsia="Arial" w:hAnsi="Arial"/>
                <w:sz w:val="15"/>
                <w:szCs w:val="15"/>
                <w:color w:val="auto"/>
              </w:rPr>
              <w:t>(4)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6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 xml:space="preserve">3,920,836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68"/>
        </w:trPr>
        <w:tc>
          <w:tcPr>
            <w:tcW w:w="6400" w:type="dxa"/>
            <w:vAlign w:val="bottom"/>
            <w:tcBorders>
              <w:bottom w:val="single" w:sz="8" w:color="BFBFBF"/>
            </w:tcBorders>
          </w:tcPr>
          <w:p>
            <w:pPr>
              <w:spacing w:after="0"/>
              <w:rPr>
                <w:sz w:val="5"/>
                <w:szCs w:val="5"/>
                <w:color w:val="auto"/>
              </w:rPr>
            </w:pPr>
          </w:p>
        </w:tc>
        <w:tc>
          <w:tcPr>
            <w:tcW w:w="1700" w:type="dxa"/>
            <w:vAlign w:val="bottom"/>
            <w:tcBorders>
              <w:bottom w:val="single" w:sz="8" w:color="BFBFBF"/>
            </w:tcBorders>
            <w:gridSpan w:val="2"/>
            <w:vMerge w:val="continue"/>
          </w:tcPr>
          <w:p>
            <w:pPr>
              <w:spacing w:after="0"/>
              <w:rPr>
                <w:sz w:val="5"/>
                <w:szCs w:val="5"/>
                <w:color w:val="auto"/>
              </w:rPr>
            </w:pPr>
          </w:p>
        </w:tc>
        <w:tc>
          <w:tcPr>
            <w:tcW w:w="220" w:type="dxa"/>
            <w:vAlign w:val="bottom"/>
            <w:tcBorders>
              <w:bottom w:val="single" w:sz="8" w:color="BFBFBF"/>
            </w:tcBorders>
            <w:vMerge w:val="continue"/>
          </w:tcPr>
          <w:p>
            <w:pPr>
              <w:spacing w:after="0"/>
              <w:rPr>
                <w:sz w:val="5"/>
                <w:szCs w:val="5"/>
                <w:color w:val="auto"/>
              </w:rPr>
            </w:pPr>
          </w:p>
        </w:tc>
        <w:tc>
          <w:tcPr>
            <w:tcW w:w="1280" w:type="dxa"/>
            <w:vAlign w:val="bottom"/>
            <w:tcBorders>
              <w:bottom w:val="single" w:sz="8" w:color="BFBFBF"/>
            </w:tcBorders>
            <w:gridSpan w:val="2"/>
            <w:vMerge w:val="continue"/>
          </w:tcPr>
          <w:p>
            <w:pPr>
              <w:spacing w:after="0"/>
              <w:rPr>
                <w:sz w:val="5"/>
                <w:szCs w:val="5"/>
                <w:color w:val="auto"/>
              </w:rPr>
            </w:pPr>
          </w:p>
        </w:tc>
        <w:tc>
          <w:tcPr>
            <w:tcW w:w="1640" w:type="dxa"/>
            <w:vAlign w:val="bottom"/>
            <w:tcBorders>
              <w:bottom w:val="single" w:sz="8" w:color="BFBFBF"/>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6400" w:type="dxa"/>
            <w:vAlign w:val="bottom"/>
            <w:tcBorders>
              <w:bottom w:val="single" w:sz="8" w:color="BFBFBF"/>
            </w:tcBorders>
            <w:shd w:val="clear" w:color="auto" w:fill="F3F3F4"/>
          </w:tcPr>
          <w:p>
            <w:pPr>
              <w:ind w:left="140"/>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FBFBF"/>
            </w:tcBorders>
            <w:shd w:val="clear" w:color="auto" w:fill="F3F3F4"/>
          </w:tcPr>
          <w:p>
            <w:pPr>
              <w:spacing w:after="0"/>
              <w:rPr>
                <w:sz w:val="24"/>
                <w:szCs w:val="24"/>
                <w:color w:val="auto"/>
              </w:rPr>
            </w:pPr>
          </w:p>
        </w:tc>
        <w:tc>
          <w:tcPr>
            <w:tcW w:w="220" w:type="dxa"/>
            <w:vAlign w:val="bottom"/>
            <w:tcBorders>
              <w:bottom w:val="single" w:sz="8" w:color="BFBFBF"/>
            </w:tcBorders>
            <w:shd w:val="clear" w:color="auto" w:fill="F3F3F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F3F3F4"/>
          </w:tcPr>
          <w:p>
            <w:pPr>
              <w:ind w:left="700"/>
              <w:spacing w:after="0"/>
              <w:rPr>
                <w:sz w:val="20"/>
                <w:szCs w:val="20"/>
                <w:color w:val="auto"/>
              </w:rPr>
            </w:pPr>
            <w:r>
              <w:rPr>
                <w:rFonts w:ascii="Arial" w:cs="Arial" w:eastAsia="Arial" w:hAnsi="Arial"/>
                <w:sz w:val="16"/>
                <w:szCs w:val="16"/>
                <w:color w:val="auto"/>
                <w:w w:val="87"/>
              </w:rPr>
              <w:t>—</w:t>
            </w:r>
          </w:p>
        </w:tc>
        <w:tc>
          <w:tcPr>
            <w:tcW w:w="420" w:type="dxa"/>
            <w:vAlign w:val="bottom"/>
            <w:tcBorders>
              <w:bottom w:val="single" w:sz="8" w:color="BFBFBF"/>
            </w:tcBorders>
            <w:shd w:val="clear" w:color="auto" w:fill="F3F3F4"/>
          </w:tcPr>
          <w:p>
            <w:pPr>
              <w:spacing w:after="0"/>
              <w:rPr>
                <w:sz w:val="24"/>
                <w:szCs w:val="24"/>
                <w:color w:val="auto"/>
              </w:rPr>
            </w:pPr>
          </w:p>
        </w:tc>
        <w:tc>
          <w:tcPr>
            <w:tcW w:w="240" w:type="dxa"/>
            <w:vAlign w:val="bottom"/>
            <w:tcBorders>
              <w:bottom w:val="single" w:sz="8" w:color="BFBFBF"/>
            </w:tcBorders>
            <w:shd w:val="clear" w:color="auto" w:fill="F3F3F4"/>
          </w:tcPr>
          <w:p>
            <w:pPr>
              <w:spacing w:after="0"/>
              <w:rPr>
                <w:sz w:val="24"/>
                <w:szCs w:val="24"/>
                <w:color w:val="auto"/>
              </w:rPr>
            </w:pPr>
          </w:p>
        </w:tc>
        <w:tc>
          <w:tcPr>
            <w:tcW w:w="8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BFBFBF"/>
            </w:tcBorders>
            <w:shd w:val="clear" w:color="auto" w:fill="F3F3F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0" w:type="dxa"/>
            <w:vAlign w:val="bottom"/>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6"/>
                <w:szCs w:val="16"/>
                <w:color w:val="auto"/>
              </w:rPr>
              <w:t>2,295,515</w:t>
            </w: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3,920,836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60" w:hanging="252"/>
        <w:spacing w:after="0" w:line="253" w:lineRule="auto"/>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the following plans: Long-Term Incentive Plan (“LTIP”), which encompasses the issuance of stock options, restricted shares, performance-based restricted shares, restricted share units; ESPP; and Deferred Compensation and Stock Plan for Directors (“DCSPD”).</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maximum number of Shares that may be issued pursuant to awards other than stock options under the LTIP.</w:t>
      </w:r>
    </w:p>
    <w:p>
      <w:pPr>
        <w:spacing w:after="0" w:line="95" w:lineRule="exact"/>
        <w:rPr>
          <w:rFonts w:ascii="Arial" w:cs="Arial" w:eastAsia="Arial" w:hAnsi="Arial"/>
          <w:sz w:val="14"/>
          <w:szCs w:val="14"/>
          <w:color w:val="auto"/>
        </w:rPr>
      </w:pPr>
    </w:p>
    <w:p>
      <w:pPr>
        <w:jc w:val="both"/>
        <w:ind w:left="260" w:hanging="252"/>
        <w:spacing w:after="0" w:line="231" w:lineRule="auto"/>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1,621,860 time-based restricted share units and 598,288 performance-based restricted share units. The performance-based restricted share units were earned at 105% of target. The actual number of restricted share units delivered under the LTIP was determined on February 25, 2020 and is set forth in the “Number of Shares or Units of Stock that have Not Vested” column of the Outstanding Equity Awards at Fiscal Year-End table of this Proxy Statement. These shares are not included in the weighted average exercise price. The executives have no rights to vote with respect to the underlying restricted share units until the date on which the actual number of shares are determined and issued to the executive. The executives are entitled to dividend equivalents if and when dividends are paid on Class A Shares.</w:t>
      </w:r>
    </w:p>
    <w:p>
      <w:pPr>
        <w:spacing w:after="0" w:line="75" w:lineRule="exact"/>
        <w:rPr>
          <w:rFonts w:ascii="Arial" w:cs="Arial" w:eastAsia="Arial" w:hAnsi="Arial"/>
          <w:sz w:val="14"/>
          <w:szCs w:val="14"/>
          <w:color w:val="auto"/>
        </w:rPr>
      </w:pPr>
    </w:p>
    <w:p>
      <w:pPr>
        <w:jc w:val="both"/>
        <w:ind w:left="260" w:hanging="252"/>
        <w:spacing w:after="0" w:line="233" w:lineRule="auto"/>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75,367 phantom shares credited to the accounts of directors under the DCSPD that will be paid in shares. These shares are not included in the weighted average exercise price. Under the DCSPD, a non-employee director may elect to defer payment of the cash compensation received as a director. The director may allocate the deferrals between a phantom stock account that credits earnings including dividends, based on the Company’s shares, or to a fixed income account. The deferrals are paid to the director at the time he or she ceases to serve as a director or upon a date predetermined by the director. Payments may be made in cash, shares, or a combination of cash and shares.</w:t>
      </w:r>
    </w:p>
    <w:p>
      <w:pPr>
        <w:spacing w:after="0" w:line="229" w:lineRule="exact"/>
        <w:rPr>
          <w:rFonts w:ascii="Arial" w:cs="Arial" w:eastAsia="Arial" w:hAnsi="Arial"/>
          <w:sz w:val="14"/>
          <w:szCs w:val="14"/>
          <w:color w:val="auto"/>
        </w:rPr>
      </w:pPr>
    </w:p>
    <w:p>
      <w:pPr>
        <w:ind w:left="1060" w:right="300" w:hanging="843"/>
        <w:spacing w:after="0" w:line="183" w:lineRule="auto"/>
        <w:tabs>
          <w:tab w:leader="none" w:pos="1060" w:val="left"/>
        </w:tabs>
        <w:numPr>
          <w:ilvl w:val="1"/>
          <w:numId w:val="45"/>
        </w:numPr>
        <w:rPr>
          <w:rFonts w:ascii="MS PGothic" w:cs="MS PGothic" w:eastAsia="MS PGothic" w:hAnsi="MS PGothic"/>
          <w:sz w:val="40"/>
          <w:szCs w:val="40"/>
          <w:color w:val="auto"/>
        </w:rPr>
      </w:pPr>
      <w:r>
        <w:rPr>
          <w:rFonts w:ascii="Arial" w:cs="Arial" w:eastAsia="Arial" w:hAnsi="Arial"/>
          <w:sz w:val="16"/>
          <w:szCs w:val="16"/>
          <w:color w:val="auto"/>
        </w:rPr>
        <w:t>THE BOARD RECOMMENDS A VOTE "</w:t>
      </w:r>
      <w:r>
        <w:rPr>
          <w:rFonts w:ascii="Arial" w:cs="Arial" w:eastAsia="Arial" w:hAnsi="Arial"/>
          <w:sz w:val="16"/>
          <w:szCs w:val="16"/>
          <w:color w:val="0033A0"/>
        </w:rPr>
        <w:t>FOR</w:t>
      </w:r>
      <w:r>
        <w:rPr>
          <w:rFonts w:ascii="Arial" w:cs="Arial" w:eastAsia="Arial" w:hAnsi="Arial"/>
          <w:sz w:val="16"/>
          <w:szCs w:val="16"/>
          <w:color w:val="auto"/>
        </w:rPr>
        <w:t>" THE APPROVAL OF AN AMENDMENT TO THE E.W. SCRIPPS COMPANY 2010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-341630</wp:posOffset>
            </wp:positionV>
            <wp:extent cx="7123430" cy="4629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23430"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9"/>
          <w:szCs w:val="29"/>
          <w:b w:val="1"/>
          <w:bCs w:val="1"/>
          <w:color w:val="0033A0"/>
        </w:rPr>
        <w:t>Delinquent Section 16 Reports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16(a) of the Securities Exchange Act of 1934 requires the Company’s directors and executive officers, and owners of more than 10 percent of the Company’s Class A Common Shares (“10 percent shareholders”), to file with the Securities and Exchange Commission initial reports of ownership and reports of changes in ownership of Class A Common Shares and other equity securities of the Company. Officers, directors and 10 percent shareholders are required by Securities and Exchange Commission regulations to furnish the Company with copies of all forms they file pursuant to Section 16(a).</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the Company’s knowledge, based solely on a review of filings made with the Securities and Exchange Commission and written representations from directors and officers that no other reports are required for the year ended December 31, 2020, all of the Company’s executive officers, directors and 10 percent shareholders complied with the requirements of Section 16(a) in a timely manner during 2020, except for two late Form 4 filings. One Form 4 with respect to two transactions by Charles E. Scripps was inadvertently filed one day late due to an administrative error. Another Form 4 filing for Daniel Perschke, Vice President, Controller, reporting share dividends in the Employee Stock Purchase Plan was inadvertently filed 22 days late.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Shareholder Proposals for 2022 Annual Meeting</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shareholder proposals intended to be presented at the Company’s 2022 Annual Meeting of Shareholders must be received by the Company at 312 Walnut Street, Suite 2800, Cincinnati, Ohio, 45202, on or before November 19, 2021, and must otherwise comply with the Securities and Exchange Commission’s rules, to be considered for inclusion in our proxy materials for the Company’s 2022 Annual Meeting of Shareholders. Such proposals should be submitted by certified mail, return receipt requested.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 shareholder intends to raise a proposal at the Company’s 2022 Annual Meeting of Shareholders that he or she does not seek to have included in the Company’s proxy materials, the shareholder must notify the Company of the proposal on or before February 2, 2022. If the shareholder fails to notify the Company, the Company’s proxies will be permitted to use their discretionary voting authority with respect to such proposal when and if raised at the 2022 Annual Meeting of Shareholders, whether or not there is any discussion of such proposal in the 2022 proxy statement.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Other Matters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the Company’s 2020 Annual Report and other materials will be mailed to shareholders of record beginning on or about March 24, 2021. Copies of these documents, as well as the Company’s Annual Report on Form 10-K for the fiscal year ended December 31, 2020 may be obtained free of charge either on our website or by contacting the Corporate Secretary at: The E.W. Scripps Company, 312 Walnut Street, Suite 2800, Cincinnati, Ohio 45202, Attention: Corporate Secretary.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one copy of this Proxy Statement is being delivered to shareholders that reside at the same address and share the same last name, unless such shareholders have notified the Company of their desire to receive multiple copies of this Proxy Statement. This procedure is designed to reduce duplicate mailings and save significant printing and postage costs as well as natural resources. The Company will promptly deliver, upon oral or written request, a separate copy of this Proxy Statement to any shareholder residing at an address to which only one copy was mailed. Requests for additional copies should be directed to the Corporate Secretary at: The E.W. Scripps Company, 312 Walnut Street, Suite 2800, Cincinnati, Ohio 45202, Attention: Corporate Secretary. Shareholders residing at the same address and currently receiving multiple copies of this Proxy Statement may contact the Corporate Secretary at: The E.W. Scripps Company, 312 Walnut Street, Suite 2800, Cincinnati, Ohio 45202, Attention: Corporate Secretary, to request that a single copy of a proxy statement be mailed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2"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color w:val="auto"/>
        </w:rPr>
        <w:t>The presence of any shareholder at the Annual Meeting will not operate to revoke his or her proxy. A proxy may be revoked at any time, insofar as it has not been exercised, by submitting a new proxy with a later date, notifying the Company’s secretary in writing before the Annual Meeting, or voting in person at the Annual Meeting.</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persons named in the enclosed proxy, or their substitutes, will vote the shares represented by such proxy at the Annual Meeting. The forms of proxy for the two classes of shares permit specification of a vote for persons nominated for election as directors by each such class of stock, as set forth under “Election of Directors” above, and the withholding of authority to vote in the election of such directors or the withholding of authority to vote for one or more specified nominees. Where a choice has been specified in the proxy, the shares represented thereby will be voted in accordance with such specification. If no specification is made, such shares will be voted to elect directors as set forth under “Election of Directors.”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Proposal 2, Proposal 3 and Proposal 4 upon which the holders of the Common Voting Shares will vote, where a choice has been specified in the proxy, the shares represented thereby will be voted in accordance with such specification. If no specification is made with respect to the proposal, such shares will be voted in favor of such proposal.</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Director nominees who receive the greatest number of affirmative votes will be elected directors. The proposal to ratify the Company’s independent public accounting firm, the proposal to approve executive compensation and the proposal to approve an amendment to The E.W. Scripps Company 2010 Long-Term Incentive Plan must receive the affirmative vote of a majority of the Company’s Common Voting Shares cast at the Annual Meeting in person or by proxy. All other matters to be considered at the Annual Meeting require for approval the favorable vote of a majority of the Common Voting Shares cast at the Annual Meeting in person or by proxy. If any other matter properly comes before the Annual Meeting or at any postponement or adjournment thereof, the persons named in the proxy will vote thereon in accordance with their judgment to the extent authorized by Rule 14a-4(c) under the Securities Exchange Act of 1934, as amended. The Company does not know of any other matter that will be presented for action at the Annual Meeting, and the Company has not received any timely notice that any of the Company’s shareholders intend to present a proposal at the Annual Meeting.</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Signatories to the Scripps Family Agreement have informed the Company that at a meeting of the Signatories held pursuant to the Scripps Family Agreement on March 10, 2021, the Signatories approved election of the seven nominees for the Director positions elected by the holders of Common Voting Shares and approved Proposal 2, Proposal 3 and Proposal 4. Accordingly, based on such approval, the Signatories will vote the Common Voting Shares held of record by them in favor of such nominees, in favor of Proposal 2, in favor of Proposal 3, and in favor of Proposal 4 at the Annual Meeting.</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 order of the Board,</w:t>
      </w:r>
    </w:p>
    <w:p>
      <w:pPr>
        <w:spacing w:after="0" w:line="32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Julie L. McGehee, Esq.</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Secretary and Vice President</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1789430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4880"/>
        <w:spacing w:after="0"/>
        <w:rPr>
          <w:sz w:val="20"/>
          <w:szCs w:val="20"/>
          <w:color w:val="auto"/>
        </w:rPr>
      </w:pPr>
      <w:r>
        <w:rPr>
          <w:rFonts w:ascii="Arial" w:cs="Arial" w:eastAsia="Arial" w:hAnsi="Arial"/>
          <w:sz w:val="29"/>
          <w:szCs w:val="29"/>
          <w:b w:val="1"/>
          <w:bCs w:val="1"/>
          <w:color w:val="0033A0"/>
        </w:rPr>
        <w:t>APPENDIX</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9"/>
          <w:szCs w:val="29"/>
          <w:b w:val="1"/>
          <w:bCs w:val="1"/>
          <w:color w:val="0033A0"/>
        </w:rPr>
        <w:t>THE E.W. SCRIPPS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A0"/>
        </w:rPr>
        <w:t>2010 LONG-TERM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May 6, 2019)</w:t>
      </w:r>
    </w:p>
    <w:p>
      <w:pPr>
        <w:spacing w:after="0" w:line="232" w:lineRule="exact"/>
        <w:rPr>
          <w:sz w:val="20"/>
          <w:szCs w:val="20"/>
          <w:color w:val="auto"/>
        </w:rPr>
      </w:pPr>
    </w:p>
    <w:p>
      <w:pPr>
        <w:ind w:left="1640" w:hanging="842"/>
        <w:spacing w:after="0"/>
        <w:tabs>
          <w:tab w:leader="none" w:pos="1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Purpose, Duration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587"/>
        <w:spacing w:after="0" w:line="273" w:lineRule="auto"/>
        <w:tabs>
          <w:tab w:leader="none" w:pos="242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E.W. Scripps Company, an Ohio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established The E. W. Scripps Company 2010 Long-Term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effective as of May 13, 2010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The Plan permits the granting of Nonqualified Stock Options, Incentive Stock Options, Stock Appreciation Rights, Restricted Shares, Restricted Share Units, Performance Shares, Performance Units, Other Stock-Based Awards, Purchase Rights and Dividend Equivalents. Definitions of capitalized terms used in the Plan are contained in Section 2 of the Plan. The Plan, as previously amended and restated as of February 24, 2015, is hereby amended and restated, as set forth herein, as of May 6, 2019 (the “</w:t>
      </w:r>
      <w:r>
        <w:rPr>
          <w:rFonts w:ascii="Arial" w:cs="Arial" w:eastAsia="Arial" w:hAnsi="Arial"/>
          <w:sz w:val="17"/>
          <w:szCs w:val="17"/>
          <w:u w:val="single" w:color="auto"/>
          <w:color w:val="auto"/>
        </w:rPr>
        <w:t>2019 Restatement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subject to the approval by holders of the common voting shares of the Company.</w:t>
      </w:r>
    </w:p>
    <w:p>
      <w:pPr>
        <w:spacing w:after="0" w:line="177" w:lineRule="exact"/>
        <w:rPr>
          <w:rFonts w:ascii="Arial" w:cs="Arial" w:eastAsia="Arial" w:hAnsi="Arial"/>
          <w:sz w:val="17"/>
          <w:szCs w:val="17"/>
          <w:color w:val="auto"/>
        </w:rPr>
      </w:pPr>
    </w:p>
    <w:p>
      <w:pPr>
        <w:ind w:firstLine="1587"/>
        <w:spacing w:after="0" w:line="277" w:lineRule="auto"/>
        <w:tabs>
          <w:tab w:leader="none" w:pos="24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purpose of the Plan is to attract and retain Directors, officers and other key employees of the Company and its Subsidiaries and to provide to such person’s incentives and rewards for superior performance.</w:t>
      </w:r>
    </w:p>
    <w:p>
      <w:pPr>
        <w:spacing w:after="0" w:line="170" w:lineRule="exact"/>
        <w:rPr>
          <w:rFonts w:ascii="Arial" w:cs="Arial" w:eastAsia="Arial" w:hAnsi="Arial"/>
          <w:sz w:val="18"/>
          <w:szCs w:val="18"/>
          <w:color w:val="auto"/>
        </w:rPr>
      </w:pPr>
    </w:p>
    <w:p>
      <w:pPr>
        <w:jc w:val="both"/>
        <w:ind w:firstLine="1587"/>
        <w:spacing w:after="0" w:line="263" w:lineRule="auto"/>
        <w:tabs>
          <w:tab w:leader="none" w:pos="24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Award may be granted under the Plan after the day immediately preceding the fifth (5th) anniversary of the 2019 Restatement Date, or such earlier date as the Board shall determine. The Plan will remain in effect with respect to outstanding Awards until no Awards remain outstanding.</w:t>
      </w:r>
    </w:p>
    <w:p>
      <w:pPr>
        <w:spacing w:after="0" w:line="183" w:lineRule="exact"/>
        <w:rPr>
          <w:rFonts w:ascii="Arial" w:cs="Arial" w:eastAsia="Arial" w:hAnsi="Arial"/>
          <w:sz w:val="18"/>
          <w:szCs w:val="18"/>
          <w:color w:val="auto"/>
        </w:rPr>
      </w:pPr>
    </w:p>
    <w:p>
      <w:pPr>
        <w:jc w:val="both"/>
        <w:ind w:firstLine="1587"/>
        <w:spacing w:after="0" w:line="263" w:lineRule="auto"/>
        <w:tabs>
          <w:tab w:leader="none" w:pos="24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 W. Scripps Company 1997 Long-Term Incentive Plan, as amended (the “</w:t>
      </w:r>
      <w:r>
        <w:rPr>
          <w:rFonts w:ascii="Arial" w:cs="Arial" w:eastAsia="Arial" w:hAnsi="Arial"/>
          <w:sz w:val="18"/>
          <w:szCs w:val="18"/>
          <w:u w:val="single" w:color="auto"/>
          <w:color w:val="auto"/>
        </w:rPr>
        <w:t>1997 Plan</w:t>
      </w:r>
      <w:r>
        <w:rPr>
          <w:rFonts w:ascii="Arial" w:cs="Arial" w:eastAsia="Arial" w:hAnsi="Arial"/>
          <w:sz w:val="18"/>
          <w:szCs w:val="18"/>
          <w:color w:val="auto"/>
        </w:rPr>
        <w:t>”) terminated in its entirety effective immediately after the Effective Date; provided that all outstanding awards under the 1997 Plan as of the date of the Effective Date shall remain outstanding and shall be administered and settled in accordance with the provisions of the 1997 Plan.</w:t>
      </w:r>
    </w:p>
    <w:p>
      <w:pPr>
        <w:spacing w:after="0" w:line="179" w:lineRule="exact"/>
        <w:rPr>
          <w:rFonts w:ascii="Arial" w:cs="Arial" w:eastAsia="Arial" w:hAnsi="Arial"/>
          <w:sz w:val="18"/>
          <w:szCs w:val="18"/>
          <w:color w:val="auto"/>
        </w:rPr>
      </w:pPr>
    </w:p>
    <w:p>
      <w:pPr>
        <w:ind w:left="1620" w:hanging="822"/>
        <w:spacing w:after="0"/>
        <w:tabs>
          <w:tab w:leader="none" w:pos="16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As used in the Plan, the following definitions shall apply.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1997 Plan</w:t>
      </w:r>
      <w:r>
        <w:rPr>
          <w:rFonts w:ascii="Arial" w:cs="Arial" w:eastAsia="Arial" w:hAnsi="Arial"/>
          <w:sz w:val="18"/>
          <w:szCs w:val="18"/>
          <w:color w:val="auto"/>
        </w:rPr>
        <w:t>” has the meaning given such term in Section 1(a) of the Plan.</w:t>
      </w:r>
    </w:p>
    <w:p>
      <w:pPr>
        <w:spacing w:after="0" w:line="225"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controlling or under common control with the Company or any Person of which the Company directly or indirectly has Beneficial Ownership of securities having a majority of the voting power.</w:t>
      </w:r>
    </w:p>
    <w:p>
      <w:pPr>
        <w:spacing w:after="0" w:line="170"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applicable requirements relating to the administration of equity-based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184" w:lineRule="exact"/>
        <w:rPr>
          <w:sz w:val="20"/>
          <w:szCs w:val="20"/>
          <w:color w:val="auto"/>
        </w:rPr>
      </w:pPr>
    </w:p>
    <w:p>
      <w:pPr>
        <w:jc w:val="both"/>
        <w:ind w:firstLine="79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Nonqualified Stock Option, Incentive Stock Option, SAR, Restricted Shares Award, Restricted Share Unit, Performance Share, Performance Unit, Other Stock-Based Award, Purchase Right, or Dividend Equivalent granted pursuant to the terms and conditions of the Plan.</w:t>
      </w:r>
    </w:p>
    <w:p>
      <w:pPr>
        <w:spacing w:after="0" w:line="124" w:lineRule="exact"/>
        <w:rPr>
          <w:sz w:val="20"/>
          <w:szCs w:val="20"/>
          <w:color w:val="auto"/>
        </w:rPr>
      </w:pPr>
    </w:p>
    <w:p>
      <w:pPr>
        <w:jc w:val="both"/>
        <w:ind w:firstLine="79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either: (a) an agreement, either in written or electronic format, entered into by the Company and a Participant setting forth the terms and provisions applicable to an Award granted under the Plan; or (b) a statement, either in written or electronic format, issued by the Company to a Participant describing the terms and provisions of such Award, which need not be signed by the Participant.</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and “Beneficial Owner” have the meanings given such terms in Rule 13d-3 promulgated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76" w:name="page77"/>
    <w:bookmarkEnd w:id="76"/>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firstLine="79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as a reason for a Participant’s termination of employment or service shall have the meaning assigned such term in (a) the employment agreement, if any, between the Participant and the Company or Subsidiary, or (b) if during the applicable severance protection period, the severance plan, or if applicable the change in control severance plan, covering the Participant and the Company or Subsidiary. If the Participant is not a party to an employment agreement or severance plan with the Company or a Subsidiary in which such term is defined, then unless otherwise defined in the applicable Award Agreement, “Cause” shall mean: (x) commission of a felony or an act or series of acts that results in material injury to the business or reputation of the Company or any Subsidiary; (y) willful failure to perform duties of employment or service, if such failure has not been cured in all material respects within twenty (20) days after the Company or any Subsidiary, as applicable, gives notice thereof; or (z) breach of any material term, provision or condition of employment or service, which breach has not been cured in all material respects within twenty (20) days after the Company or any Subsidiary, as applicable, gives notice thereof.</w:t>
      </w:r>
    </w:p>
    <w:p>
      <w:pPr>
        <w:spacing w:after="0" w:line="181" w:lineRule="exact"/>
        <w:rPr>
          <w:sz w:val="20"/>
          <w:szCs w:val="20"/>
          <w:color w:val="auto"/>
        </w:rPr>
      </w:pPr>
    </w:p>
    <w:p>
      <w:pPr>
        <w:jc w:val="both"/>
        <w:ind w:firstLine="79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occurs when (except as may be otherwise prescribed by the Committee in an Award Agreement): (a) any Person becomes a Beneficial Owner of a majority of the outstanding common voting shares, $0.01 par value, of the Company (or shares of capital stock of the Company with comparable or unlimited voting rights), excluding, however, any person that is or becomes a party to the Scripps Family Agreement, dated October 15, 1992, as amended currently and as it may be amended from time to time in the future (the “</w:t>
      </w:r>
      <w:r>
        <w:rPr>
          <w:rFonts w:ascii="Arial" w:cs="Arial" w:eastAsia="Arial" w:hAnsi="Arial"/>
          <w:sz w:val="18"/>
          <w:szCs w:val="18"/>
          <w:u w:val="single" w:color="auto"/>
          <w:color w:val="auto"/>
        </w:rPr>
        <w:t>Family Agreement</w:t>
      </w:r>
      <w:r>
        <w:rPr>
          <w:rFonts w:ascii="Arial" w:cs="Arial" w:eastAsia="Arial" w:hAnsi="Arial"/>
          <w:sz w:val="18"/>
          <w:szCs w:val="18"/>
          <w:color w:val="auto"/>
        </w:rPr>
        <w:t>”); (b) the majority of the Board consists of individuals other than Incumbent Directors; or (c) assets of the Company accounting for 90% or more of the Company’s revenues (hereinafter referred to as “substantially all of the Company’s assets”) are disposed of pursuant to a merger, consolidation, sale, or plan of liquidation and dissolution (unless the parties to the Family Agreement have Beneficial Ownership of, directly or indirectly, a controlling interest (defined as owning a majority of the voting power) in the entity surviving such merger or consolidation or acquiring such assets upon such sale or in connection with such plan of liquidation and dissolution).</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as specified in Section 4(a) of the Plan, appointed by the Board to administer the Plan.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given such term in Section 1(a) of the Plan and any successor thereto.</w:t>
      </w:r>
    </w:p>
    <w:p>
      <w:pPr>
        <w:spacing w:after="0" w:line="225"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Award is determined to be effective and designated in a resolution by the Committee and is granted pursuant to the Plan. The Date of Grant shall not be earlier than the date of the resolution and action therein by the Committee. In no event shall the Date of Grant be earlier than the Effective Date.</w:t>
      </w:r>
    </w:p>
    <w:p>
      <w:pPr>
        <w:spacing w:after="0" w:line="184" w:lineRule="exact"/>
        <w:rPr>
          <w:sz w:val="20"/>
          <w:szCs w:val="20"/>
          <w:color w:val="auto"/>
        </w:rPr>
      </w:pPr>
    </w:p>
    <w:p>
      <w:pPr>
        <w:jc w:val="both"/>
        <w:ind w:firstLine="79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Detrimental Activity</w:t>
      </w:r>
      <w:r>
        <w:rPr>
          <w:rFonts w:ascii="Arial" w:cs="Arial" w:eastAsia="Arial" w:hAnsi="Arial"/>
          <w:sz w:val="16"/>
          <w:szCs w:val="16"/>
          <w:color w:val="auto"/>
        </w:rPr>
        <w:t>” except as may be otherwise specified in a Participant’s Award Agreement, means: (a) engaging in any activity of competition, as specified in any covenant not to compete set forth in any agreement between a Participant and the Company or a Subsidiary, including, but not limited to, the Participant’s Award Agreement or any severance plan maintained by the Company or a Subsidiary that covers the Participant, during the period of restriction specified in the agreement or plan prohibiting the Participant from engaging in such activity; (b) engaging in any activity of solicitation, as specified in any covenant not to solicit set forth in any agreement between a Participant and the Company or a Subsidiary, including, but not limited to, the Participant’s Award Agreement or any severance plan maintained by the Company or a Subsidiary that covers the Participant, during the period of restriction specified in the agreement or plan prohibiting the Participant from engaging in such activity; (c) the disclosure of confidential information to anyone outside the Company or a Subsidiary, or the use in other than the Company’s or a Subsidiary’s business in violation of any covenant not to disclose set forth in any agreement between a Participant and the Company or a Subsidiary, including, but not limited to, the Participant’s Award Agreement or any severance plan maintained by the Company or a Subsidiary that covers the Participant, during the period of restriction specified in the agreement or plan prohibiting the Participant from engaging in such activity; (d) the violation of any development and inventions, ownership of works, or similar provision set forth in any agreement between a Participant and the Company or a Subsidiary, including, but not limited to, the Participant’s Award Agreement or any severance plan maintained by the Company or a Subsidiary that covers the Participant; (e) Participant’s commission of any act of fraud, misappropriation or embezzlement against or in connection with the Company or any of its Subsidiaries or their respective businesses or operations, or (f) a conviction, guilty plea or plea of nolo contendere of Participant for any crime involving dishonesty or for any felony.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individual who is a member of the Board who is not an Employee.</w:t>
      </w:r>
    </w:p>
    <w:p>
      <w:pPr>
        <w:spacing w:after="0" w:line="225"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means the equivalent value (in cash or Shares) of dividends that would otherwise be paid on the Shares subject to an Award but that have not been issued or delivered, as described in Section 13 of the Plan.</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such term in Section 1(a) of the Plan.</w:t>
      </w:r>
    </w:p>
    <w:p>
      <w:pPr>
        <w:spacing w:after="0" w:line="225"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a Subsidiary; provided, however, that for purposes of determining whether any person may be a Participant for purposes of any grant of Incentive Stock Options, the term “Employee” has the meaning given to such term in Section 3401(c) of the Code, as interpreted by the regulations thereunder and Applicable Law.</w:t>
      </w:r>
    </w:p>
    <w:p>
      <w:pPr>
        <w:spacing w:after="0" w:line="184"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thereunder, as such law, rules and regulations may be amended from time to time.</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price at which a Share may be purchased by a Participant pursuant to a Stock Option.</w:t>
      </w:r>
    </w:p>
    <w:p>
      <w:pPr>
        <w:spacing w:after="0" w:line="225" w:lineRule="exact"/>
        <w:rPr>
          <w:sz w:val="20"/>
          <w:szCs w:val="20"/>
          <w:color w:val="auto"/>
        </w:rPr>
      </w:pPr>
    </w:p>
    <w:p>
      <w:pPr>
        <w:jc w:val="both"/>
        <w:ind w:firstLine="79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a Share determined as follows: (a) the closing sale price per Share as reported on the NASDAQ, or if there are no sales on such day, on the immediately preceding trading day during which a sale occurred; and (b) in the absence of such markets for the Shares, the Fair Market Value shall be determined by the Committee in good faith (which determination shall, to the extent applicable, be made in a manner that complies with Section 409A of the Code), and such determination shall be conclusive and binding for all purposes.</w:t>
      </w:r>
    </w:p>
    <w:p>
      <w:pPr>
        <w:spacing w:after="0" w:line="157"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Price”</w:t>
      </w:r>
      <w:r>
        <w:rPr>
          <w:rFonts w:ascii="Arial" w:cs="Arial" w:eastAsia="Arial" w:hAnsi="Arial"/>
          <w:sz w:val="18"/>
          <w:szCs w:val="18"/>
          <w:color w:val="auto"/>
        </w:rPr>
        <w:t xml:space="preserve"> means the price established at the time of grant of an SAR pursuant to Section 7 of the Plan, used to determine whether there is any payment due upon exercise of the SAR.</w:t>
      </w:r>
    </w:p>
    <w:p>
      <w:pPr>
        <w:spacing w:after="0" w:line="170"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that is designated as an Incentive Stock Option and that is intended to meet the requirements of Section 422 of the Code.</w:t>
      </w:r>
    </w:p>
    <w:p>
      <w:pPr>
        <w:spacing w:after="0" w:line="170"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 Stock Option that is not intended to meet the requirements of Section 422 of the Code or otherwise does not meet such requirements.</w:t>
      </w:r>
    </w:p>
    <w:p>
      <w:pPr>
        <w:spacing w:after="0" w:line="170"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Awards</w:t>
      </w:r>
      <w:r>
        <w:rPr>
          <w:rFonts w:ascii="Arial" w:cs="Arial" w:eastAsia="Arial" w:hAnsi="Arial"/>
          <w:sz w:val="18"/>
          <w:szCs w:val="18"/>
          <w:color w:val="auto"/>
        </w:rPr>
        <w:t>” means an equity-based or equity-related Award not otherwise described by the terms of the Plan, granted in accordance with the terms and conditions set forth in Section 11 of the Plan.</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individual as set forth in Section 5 of the Plan who holds one or more outstanding Awards.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Performance-Based Exception</w:t>
      </w:r>
      <w:r>
        <w:rPr>
          <w:rFonts w:ascii="Arial" w:cs="Arial" w:eastAsia="Arial" w:hAnsi="Arial"/>
          <w:sz w:val="16"/>
          <w:szCs w:val="16"/>
          <w:color w:val="auto"/>
        </w:rPr>
        <w:t>” means the performance-based exception from the tax deductibility limitations of Section 162(m) of the Code.</w:t>
      </w:r>
    </w:p>
    <w:p>
      <w:pPr>
        <w:spacing w:after="0" w:line="248" w:lineRule="exact"/>
        <w:rPr>
          <w:sz w:val="20"/>
          <w:szCs w:val="20"/>
          <w:color w:val="auto"/>
        </w:rPr>
      </w:pPr>
    </w:p>
    <w:p>
      <w:pPr>
        <w:jc w:val="both"/>
        <w:ind w:firstLine="79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Objectives</w:t>
      </w:r>
      <w:r>
        <w:rPr>
          <w:rFonts w:ascii="Arial" w:cs="Arial" w:eastAsia="Arial" w:hAnsi="Arial"/>
          <w:sz w:val="18"/>
          <w:szCs w:val="18"/>
          <w:color w:val="auto"/>
        </w:rPr>
        <w:t>” means the measurable performance objective or objectives established by the Committee pursuant to the Plan. Any Performance Objectives may relate to the performance of the Company or one or more of its Subsidiaries, divisions, departments, units, functions, partnerships, joint ventures or minority investments, product lines or products, or the performance of the individual Participant. The Performance Objectives may be made relative to the performance of a group of comparable companies, or published or special index that the Committee, in its sole discretion, deems appropriate, or the Company may select Performance Objectives as compared to various stock market indices. Performance Objectives may be stated as a combination of the listed factors.</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during which a Performance Objective must be met.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w:t>
      </w:r>
      <w:r>
        <w:rPr>
          <w:rFonts w:ascii="Arial" w:cs="Arial" w:eastAsia="Arial" w:hAnsi="Arial"/>
          <w:sz w:val="17"/>
          <w:szCs w:val="17"/>
          <w:color w:val="auto"/>
        </w:rPr>
        <w:t>” means a bookkeeping entry that records the equivalent of one Share awarded pursuant to Section 10 of the Plan.</w:t>
      </w:r>
    </w:p>
    <w:p>
      <w:pPr>
        <w:spacing w:after="0" w:line="2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 bookkeeping entry that records a unit awarded pursuant to Section 10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Restricted Share Units or Other Stock-Based Awards are subject to a substantial risk of forfeiture (based on the passage of time, the achievement of Performance Objectives, or upon the occurrence of other events as determined by the Committee, at its discretion), as provided in Sections 8, 9 and 11 herein.</w:t>
      </w:r>
    </w:p>
    <w:p>
      <w:pPr>
        <w:spacing w:after="0" w:line="184"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given such term in Section 3(a)(9) of the Exchange Act, and as used in Sections 13(d) and 14(d) thereof, including a “group” (as defined in Section 13(d) of the Exchange Act).</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E.W. Scripps Company 2010 Long-Term Incentive Plan, as amended from time to time.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Right</w:t>
      </w:r>
      <w:r>
        <w:rPr>
          <w:rFonts w:ascii="Arial" w:cs="Arial" w:eastAsia="Arial" w:hAnsi="Arial"/>
          <w:sz w:val="18"/>
          <w:szCs w:val="18"/>
          <w:color w:val="auto"/>
        </w:rPr>
        <w:t>” means the grant of a right to purchase Shares pursuant to Section 12 of the Plan.</w:t>
      </w:r>
    </w:p>
    <w:p>
      <w:pPr>
        <w:spacing w:after="0" w:line="225"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or sold pursuant to Section 8 of the Plan as to which neither the substantial risk of forfeiture nor the prohibition on transfers referred to in such Section 8 has expired.</w:t>
      </w:r>
    </w:p>
    <w:p>
      <w:pPr>
        <w:spacing w:after="0" w:line="170"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 Units</w:t>
      </w:r>
      <w:r>
        <w:rPr>
          <w:rFonts w:ascii="Arial" w:cs="Arial" w:eastAsia="Arial" w:hAnsi="Arial"/>
          <w:sz w:val="18"/>
          <w:szCs w:val="18"/>
          <w:color w:val="auto"/>
        </w:rPr>
        <w:t>” means a grant of the right to receive Shares or cash at the end of a specified Period of Restriction made pursuant to Section 9 of the Plan.</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Class A Common Share of the Company, $0.01 par value per share, or any security into which such Share may be changed by reason of any transaction or event of the type referred to in Section 18 of the Plan.</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granted pursuant to Section 7 of the Plan.</w:t>
      </w:r>
    </w:p>
    <w:p>
      <w:pPr>
        <w:spacing w:after="0" w:line="225" w:lineRule="exact"/>
        <w:rPr>
          <w:sz w:val="20"/>
          <w:szCs w:val="20"/>
          <w:color w:val="auto"/>
        </w:rPr>
      </w:pPr>
    </w:p>
    <w:p>
      <w:pPr>
        <w:jc w:val="both"/>
        <w:ind w:right="20"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 right to purchase a Share granted to a Participant under the Plan in accordance with the terms and conditions set forth in Section 6 of the Plan. Stock Options may be either Incentive Stock Options or Nonqualified Stock Options.</w:t>
      </w:r>
    </w:p>
    <w:p>
      <w:pPr>
        <w:spacing w:after="0" w:line="170" w:lineRule="exact"/>
        <w:rPr>
          <w:sz w:val="20"/>
          <w:szCs w:val="20"/>
          <w:color w:val="auto"/>
        </w:rPr>
      </w:pPr>
    </w:p>
    <w:p>
      <w:pPr>
        <w:jc w:val="both"/>
        <w:ind w:firstLine="79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corporation, company or other entity (a) more than fifty percent (50%) of whose outstanding shares or securities (representing the right to vote for the election of directors or other managing authority) are now or hereafter, owned or controlled, directly or indirectly, by the Company, or (b) which does not have outstanding shares or securities (as may be the case in a partnership, limited liability company, joint venture or unincorporated association), but more than fifty percent (50%) of whose ownership interest representing the right generally to make decisions for such other entity is now or hereafter, owned or controlled, directly or indirectly, by the Company; provided, however, that for purposes of determining whether any person may be a Participant for purposes of any grant of Incentive Stock Options, the term “Subsidiary” has the meaning given to such term in Section 424(f) of the Code, as interpreted by the regulations thereunder and Applicable Law.</w:t>
      </w:r>
    </w:p>
    <w:p>
      <w:pPr>
        <w:spacing w:after="0" w:line="177"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means Awards that are granted in assumption of, or in substitution or exchange for, outstanding awards previously granted by an entity acquired directly or indirectly by the Company or with which the Company directly or indirectly combines.</w:t>
      </w:r>
    </w:p>
    <w:p>
      <w:pPr>
        <w:spacing w:after="0" w:line="170"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shall mean any Participant who owns more than ten percent (10%) of the combined voting power of all classes of stock of the Company, within the meaning of Section 422 of the Code.</w:t>
      </w:r>
    </w:p>
    <w:p>
      <w:pPr>
        <w:spacing w:after="0" w:line="166" w:lineRule="exact"/>
        <w:rPr>
          <w:sz w:val="20"/>
          <w:szCs w:val="20"/>
          <w:color w:val="auto"/>
        </w:rPr>
      </w:pPr>
    </w:p>
    <w:p>
      <w:pPr>
        <w:ind w:left="1620" w:hanging="822"/>
        <w:spacing w:after="0"/>
        <w:tabs>
          <w:tab w:leader="none" w:pos="16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Under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0" w:firstLine="1587"/>
        <w:spacing w:after="0" w:line="279" w:lineRule="auto"/>
        <w:tabs>
          <w:tab w:leader="none" w:pos="242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maximum number of Shares that may be issued or delivered pursuant to Awards under the Plan shall be 7 million, plus the number of Shares described in Section 3(b) of the Plan. The aggregate number of Shares available for issuance or delivery under the Plan shall be subject to adjustment as provided in Section 18 of the Plan. Shares issued or delivered pursuant to an Award may be authorized but unissued Shares, treasury Shares, including Shares purchased in the open market, or a combination of the foregoing.</w:t>
      </w:r>
    </w:p>
    <w:p>
      <w:pPr>
        <w:spacing w:after="0" w:line="171" w:lineRule="exact"/>
        <w:rPr>
          <w:rFonts w:ascii="Arial" w:cs="Arial" w:eastAsia="Arial" w:hAnsi="Arial"/>
          <w:sz w:val="17"/>
          <w:szCs w:val="17"/>
          <w:color w:val="auto"/>
        </w:rPr>
      </w:pPr>
    </w:p>
    <w:p>
      <w:pPr>
        <w:jc w:val="both"/>
        <w:ind w:firstLine="1587"/>
        <w:spacing w:after="0" w:line="272" w:lineRule="auto"/>
        <w:tabs>
          <w:tab w:leader="none" w:pos="243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Shares remaining available for issuance under the 1997 Plan as of the Effective Date shall be added to the number of Shares that may be issued or delivery pursuant to the Plan as provided in Section 3(a) of the Plan and shall be available for issuance or delivery pursuant to grants of Awards under the Plan. If, on or after the Effective Date any outstanding award granted pursuant to the 1997 Plan terminates or is forfeited without having been exercised in full, or if any award granted pursuant to the 1997 Plan is settled (or can be paid only) in cash, or Shares underlying any outstanding award granted pursuant to the 1997 Plan are withheld by the Company or any Subsidiary to satisfy a tax withholding obligation, then the underlying Shares, to the extent of any such forfeiture, termination, cash settlement or withholding, shall be added to the number of Shares that may be issued or delivery pursuant to the Plan as provided in Section 3(a) of the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79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shall be available for issuance or delivery pursuant to grants of Awards under the Plan.</w:t>
      </w:r>
    </w:p>
    <w:p>
      <w:pPr>
        <w:spacing w:after="0" w:line="225" w:lineRule="exact"/>
        <w:rPr>
          <w:sz w:val="20"/>
          <w:szCs w:val="20"/>
          <w:color w:val="auto"/>
        </w:rPr>
      </w:pPr>
    </w:p>
    <w:p>
      <w:pPr>
        <w:jc w:val="both"/>
        <w:ind w:firstLine="1587"/>
        <w:spacing w:after="0" w:line="271" w:lineRule="auto"/>
        <w:tabs>
          <w:tab w:leader="none" w:pos="2427"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any Award granted pursuant to the Plan terminates or is forfeited without having been exercised in full, or if any Award granted pursuant to the Plan is settled (or can be paid only) in cash, then the underlying Shares, to the extent of any such forfeiture, termination or cash settlement, again shall be available for grant under the Plan and credited toward the Plan limit as set forth in Section 3(a) of the Plan. Except as may be required by reason of Section 422 and related provisions of the Code, Shares issued or delivered under the Plan as a Substitute Award or in settlement of a Substitute Award shall not reduce or be counted against the Shares available for Awards under the Plan and will not count against the Plan limit as set forth in Section 3(a) of the Plan to the extent that the rules and regulations of any stock exchange or other trading market on which the Shares are listed or traded provide an exemption from shareholder approval for assumption, substitution, conversion, adjustment, or replacement of outstanding awards in connection with mergers, acquisitions, or other corporate combinations.</w:t>
      </w:r>
    </w:p>
    <w:p>
      <w:pPr>
        <w:spacing w:after="0" w:line="178" w:lineRule="exact"/>
        <w:rPr>
          <w:rFonts w:ascii="Arial" w:cs="Arial" w:eastAsia="Arial" w:hAnsi="Arial"/>
          <w:sz w:val="17"/>
          <w:szCs w:val="17"/>
          <w:color w:val="auto"/>
        </w:rPr>
      </w:pPr>
    </w:p>
    <w:p>
      <w:pPr>
        <w:jc w:val="both"/>
        <w:ind w:firstLine="1587"/>
        <w:spacing w:after="0" w:line="275" w:lineRule="auto"/>
        <w:tabs>
          <w:tab w:leader="none" w:pos="24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 other provision herein, the following Shares shall not again be available for grant as described above: (i) Shares tendered in payment of the Exercise Price of a Stock Option, (ii) Shares withheld by the Company or any Subsidiary to satisfy a tax withholding obligation, and (iii) Shares that are repurchased by the Company with Stock Option proceeds. Moreover, all Shares covered by a SAR, to the extent that it is exercised and settled in Shares, and whether or not Shares are actually issued or delivered to the Participant upon exercise of the right, shall be considered issued or delivered pursuant to the Plan for purposes of Section 3(a) of the Plan.</w:t>
      </w:r>
    </w:p>
    <w:p>
      <w:pPr>
        <w:spacing w:after="0" w:line="176" w:lineRule="exact"/>
        <w:rPr>
          <w:rFonts w:ascii="Arial" w:cs="Arial" w:eastAsia="Arial" w:hAnsi="Arial"/>
          <w:sz w:val="17"/>
          <w:szCs w:val="17"/>
          <w:color w:val="auto"/>
        </w:rPr>
      </w:pPr>
    </w:p>
    <w:p>
      <w:pPr>
        <w:ind w:left="2440" w:hanging="853"/>
        <w:spacing w:after="0"/>
        <w:tabs>
          <w:tab w:leader="none" w:pos="2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adjustment as provided in Section 18 of the Plan, up to 4,000,000 Shares may be issued or delivered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respect to ISOs.</w:t>
      </w:r>
    </w:p>
    <w:p>
      <w:pPr>
        <w:spacing w:after="0" w:line="210" w:lineRule="exact"/>
        <w:rPr>
          <w:rFonts w:ascii="Arial" w:cs="Arial" w:eastAsia="Arial" w:hAnsi="Arial"/>
          <w:sz w:val="17"/>
          <w:szCs w:val="17"/>
          <w:color w:val="auto"/>
        </w:rPr>
      </w:pPr>
    </w:p>
    <w:p>
      <w:pPr>
        <w:ind w:firstLine="1587"/>
        <w:spacing w:after="0" w:line="277" w:lineRule="auto"/>
        <w:tabs>
          <w:tab w:leader="none" w:pos="24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adjustment as provided in Section 18 of the Plan, the following limits shall apply with respect to Awards that are intended to qualify for the Performance-Based Exception:</w:t>
      </w:r>
    </w:p>
    <w:p>
      <w:pPr>
        <w:spacing w:after="0" w:line="170" w:lineRule="exact"/>
        <w:rPr>
          <w:rFonts w:ascii="Arial" w:cs="Arial" w:eastAsia="Arial" w:hAnsi="Arial"/>
          <w:sz w:val="18"/>
          <w:szCs w:val="18"/>
          <w:color w:val="auto"/>
        </w:rPr>
      </w:pPr>
    </w:p>
    <w:p>
      <w:pPr>
        <w:ind w:firstLine="2377"/>
        <w:spacing w:after="0" w:line="277" w:lineRule="auto"/>
        <w:tabs>
          <w:tab w:leader="none" w:pos="31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maximum aggregate number of Shares that may be subject to Stock Options or SARs granted in any calendar year to any one Participant shall be 2,000,000 Shares.</w:t>
      </w:r>
    </w:p>
    <w:p>
      <w:pPr>
        <w:spacing w:after="0" w:line="170" w:lineRule="exact"/>
        <w:rPr>
          <w:rFonts w:ascii="Arial" w:cs="Arial" w:eastAsia="Arial" w:hAnsi="Arial"/>
          <w:sz w:val="18"/>
          <w:szCs w:val="18"/>
          <w:color w:val="auto"/>
        </w:rPr>
      </w:pPr>
    </w:p>
    <w:p>
      <w:pPr>
        <w:ind w:firstLine="2377"/>
        <w:spacing w:after="0" w:line="342" w:lineRule="auto"/>
        <w:tabs>
          <w:tab w:leader="none" w:pos="32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maximum aggregate number of Restricted Shares and Shares issuable or deliverable under Performance Shares, Restricted Share Units and Other Stock-Based Awards granted in any calendar year to any one Participant shall be 1,500,000 Shares.</w:t>
      </w:r>
    </w:p>
    <w:p>
      <w:pPr>
        <w:spacing w:after="0" w:line="123" w:lineRule="exact"/>
        <w:rPr>
          <w:rFonts w:ascii="Arial" w:cs="Arial" w:eastAsia="Arial" w:hAnsi="Arial"/>
          <w:sz w:val="16"/>
          <w:szCs w:val="16"/>
          <w:color w:val="auto"/>
        </w:rPr>
      </w:pPr>
    </w:p>
    <w:p>
      <w:pPr>
        <w:jc w:val="both"/>
        <w:ind w:firstLine="2377"/>
        <w:spacing w:after="0" w:line="263" w:lineRule="auto"/>
        <w:tabs>
          <w:tab w:leader="none" w:pos="32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maximum aggregate compensation that can be paid pursuant to Performance Units or cash-based Awards under Section 11 of the Plan granted in any calendar year to any one Participant shall be $3,000,000 or a number of Shares having an aggregate Fair Market Value not in excess of such amount.</w:t>
      </w:r>
    </w:p>
    <w:p>
      <w:pPr>
        <w:spacing w:after="0" w:line="183" w:lineRule="exact"/>
        <w:rPr>
          <w:rFonts w:ascii="Arial" w:cs="Arial" w:eastAsia="Arial" w:hAnsi="Arial"/>
          <w:sz w:val="18"/>
          <w:szCs w:val="18"/>
          <w:color w:val="auto"/>
        </w:rPr>
      </w:pPr>
    </w:p>
    <w:p>
      <w:pPr>
        <w:ind w:right="20" w:firstLine="2377"/>
        <w:spacing w:after="0" w:line="277" w:lineRule="auto"/>
        <w:tabs>
          <w:tab w:leader="none" w:pos="327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maximum Dividend Equivalents that may be paid in any calendar year to any one Participant shall be $300,000 or a number of shares having an aggregate Fair Market Value not in excess of such amount.</w:t>
      </w:r>
    </w:p>
    <w:p>
      <w:pPr>
        <w:spacing w:after="0" w:line="170" w:lineRule="exact"/>
        <w:rPr>
          <w:rFonts w:ascii="Arial" w:cs="Arial" w:eastAsia="Arial" w:hAnsi="Arial"/>
          <w:sz w:val="18"/>
          <w:szCs w:val="18"/>
          <w:color w:val="auto"/>
        </w:rPr>
      </w:pPr>
    </w:p>
    <w:p>
      <w:pPr>
        <w:jc w:val="both"/>
        <w:ind w:firstLine="1587"/>
        <w:spacing w:after="0" w:line="275" w:lineRule="auto"/>
        <w:tabs>
          <w:tab w:leader="none" w:pos="24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(determined in accordance with applicable financial accounting rules) of all Awards granted to any Director during any single calendar year for services as a Director (excluding Awards made at the election of the Director in lieu of all or a portion of annual and committee cash retainers), taken together with any cash fees paid to such person during such calendar year, shall not exceed $300,000 with respect to any Director who is serving in a capacity other than non-executive Chairman, and $500,000 with respect to any Director who is serving as non-executive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746760</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ind w:left="1620" w:hanging="822"/>
        <w:spacing w:after="0"/>
        <w:tabs>
          <w:tab w:leader="none" w:pos="16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587"/>
        <w:spacing w:after="0" w:line="257" w:lineRule="auto"/>
        <w:tabs>
          <w:tab w:leader="none" w:pos="24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Plan shall be administered by the Compensation Committee of the Board or such other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as the Board shall select consisting of two or more members of the Board each of whom is a “non-employee director” within the meaning of Rule 16b-3 (or any successor rule) of the Exchange Act, an “outside director” under regulations promulgated under Section 162(m) of the Code, and an “independent director” under the NASDAQ rules. The members of the Committee shall be appointed from time to time by, and shall serve at the discretion of, the Board.</w:t>
      </w:r>
    </w:p>
    <w:p>
      <w:pPr>
        <w:spacing w:after="0" w:line="160" w:lineRule="exact"/>
        <w:rPr>
          <w:rFonts w:ascii="Arial" w:cs="Arial" w:eastAsia="Arial" w:hAnsi="Arial"/>
          <w:sz w:val="18"/>
          <w:szCs w:val="18"/>
          <w:color w:val="auto"/>
        </w:rPr>
      </w:pPr>
    </w:p>
    <w:p>
      <w:pPr>
        <w:jc w:val="both"/>
        <w:ind w:firstLine="1587"/>
        <w:spacing w:after="0" w:line="291" w:lineRule="auto"/>
        <w:tabs>
          <w:tab w:leader="none" w:pos="24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Subject to Applicable Laws and the provisions of the Plan (including any other powers given to the Committee hereunder), and except as otherwise provided by the Board, the Committee shall have full and final authority in its discretion to take all actions determined by the Committee to be necessary in the administration of the Plan, including, without limitation, discretion to: select Award recipients; determine the sizes and types of Awards; determine the terms and conditions of Awards in a manner consistent with the Plan; grant waivers of terms, conditions, restrictions and limitations applicable to any Award, or accelerate the vesting or exercisability of any Award, in a manner consistent with the Plan; construe and interpret the Plan and any Award Agreement or other agreement or instrument entered into under the Plan; establish, amend, or waive rules and regulations for the Plan’s administration; and take such other action, not inconsistent with the terms of the Plan, as the Committee deems appropriate.</w:t>
      </w:r>
    </w:p>
    <w:p>
      <w:pPr>
        <w:spacing w:after="0" w:line="125" w:lineRule="exact"/>
        <w:rPr>
          <w:rFonts w:ascii="Arial" w:cs="Arial" w:eastAsia="Arial" w:hAnsi="Arial"/>
          <w:sz w:val="16"/>
          <w:szCs w:val="16"/>
          <w:color w:val="auto"/>
        </w:rPr>
      </w:pPr>
    </w:p>
    <w:p>
      <w:pPr>
        <w:jc w:val="both"/>
        <w:ind w:firstLine="1587"/>
        <w:spacing w:after="0" w:line="257" w:lineRule="auto"/>
        <w:tabs>
          <w:tab w:leader="none" w:pos="24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4(c)) shall include the Board. To the extent any action of the Board under the Plan conflicts with actions taken by the Committee, the actions of the Board shall control.</w:t>
      </w:r>
    </w:p>
    <w:p>
      <w:pPr>
        <w:spacing w:after="0" w:line="147" w:lineRule="exact"/>
        <w:rPr>
          <w:rFonts w:ascii="Arial" w:cs="Arial" w:eastAsia="Arial" w:hAnsi="Arial"/>
          <w:sz w:val="18"/>
          <w:szCs w:val="18"/>
          <w:color w:val="auto"/>
        </w:rPr>
      </w:pPr>
    </w:p>
    <w:p>
      <w:pPr>
        <w:jc w:val="both"/>
        <w:ind w:firstLine="1587"/>
        <w:spacing w:after="0" w:line="263" w:lineRule="auto"/>
        <w:tabs>
          <w:tab w:leader="none" w:pos="24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the extent permitted by Applicable Laws, the Committee may, in its discretion, delegate to one or more Directors or Employees any of the Committee’s authority under the Plan. The acts of any such delegates shall be treated hereunder as acts of the Committee with respect to any matters so delegated.</w:t>
      </w:r>
    </w:p>
    <w:p>
      <w:pPr>
        <w:spacing w:after="0" w:line="156" w:lineRule="exact"/>
        <w:rPr>
          <w:rFonts w:ascii="Arial" w:cs="Arial" w:eastAsia="Arial" w:hAnsi="Arial"/>
          <w:sz w:val="18"/>
          <w:szCs w:val="18"/>
          <w:color w:val="auto"/>
        </w:rPr>
      </w:pPr>
    </w:p>
    <w:p>
      <w:pPr>
        <w:jc w:val="both"/>
        <w:ind w:firstLine="1587"/>
        <w:spacing w:after="0" w:line="275" w:lineRule="auto"/>
        <w:tabs>
          <w:tab w:leader="none" w:pos="2427"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Committee shall have no obligation to treat Participants or eligible Participants uniformly, and the Committee may make determinations under the Plan selectively among Participants who receive, or Employees or Directors who are eligible to receive, Awards (whether or not such Participants or eligible Employees or Directors are similarly situated). All determinations and decisions made by the Committee pursuant to the provisions of the Plan and all related orders and resolutions of the Committee shall be final, conclusive and binding on all persons, including the Company, its Subsidiaries, its shareholders, Directors, Employees, and their estates and beneficiaries.</w:t>
      </w:r>
    </w:p>
    <w:p>
      <w:pPr>
        <w:spacing w:after="0" w:line="131" w:lineRule="exact"/>
        <w:rPr>
          <w:rFonts w:ascii="Arial" w:cs="Arial" w:eastAsia="Arial" w:hAnsi="Arial"/>
          <w:sz w:val="17"/>
          <w:szCs w:val="17"/>
          <w:color w:val="auto"/>
        </w:rPr>
      </w:pPr>
    </w:p>
    <w:p>
      <w:pPr>
        <w:ind w:left="1620" w:hanging="822"/>
        <w:spacing w:after="0"/>
        <w:tabs>
          <w:tab w:leader="none" w:pos="1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2440" w:hanging="853"/>
        <w:spacing w:after="0"/>
        <w:tabs>
          <w:tab w:leader="none" w:pos="24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Employee and Director is eligible to participate in the Plan.</w:t>
      </w:r>
    </w:p>
    <w:p>
      <w:pPr>
        <w:spacing w:after="0" w:line="184" w:lineRule="exact"/>
        <w:rPr>
          <w:rFonts w:ascii="Arial" w:cs="Arial" w:eastAsia="Arial" w:hAnsi="Arial"/>
          <w:sz w:val="18"/>
          <w:szCs w:val="18"/>
          <w:color w:val="auto"/>
        </w:rPr>
      </w:pPr>
    </w:p>
    <w:p>
      <w:pPr>
        <w:jc w:val="both"/>
        <w:ind w:firstLine="1587"/>
        <w:spacing w:after="0" w:line="263" w:lineRule="auto"/>
        <w:tabs>
          <w:tab w:leader="none" w:pos="24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may, from time to time, select from all eligible Employees and Directors those to whom Awards shall be granted and shall determine, in its sole discretion, the nature of any and all terms permissible by Applicable Law and the amount of each Award.</w:t>
      </w:r>
    </w:p>
    <w:p>
      <w:pPr>
        <w:spacing w:after="0" w:line="143" w:lineRule="exact"/>
        <w:rPr>
          <w:rFonts w:ascii="Arial" w:cs="Arial" w:eastAsia="Arial" w:hAnsi="Arial"/>
          <w:sz w:val="18"/>
          <w:szCs w:val="18"/>
          <w:color w:val="auto"/>
        </w:rPr>
      </w:pPr>
    </w:p>
    <w:p>
      <w:pPr>
        <w:jc w:val="both"/>
        <w:ind w:firstLine="1587"/>
        <w:spacing w:after="0" w:line="259" w:lineRule="auto"/>
        <w:tabs>
          <w:tab w:leader="none" w:pos="24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 Incentive Stock Options may be granted only to eligible Participants who are Employees of the Company (or a “parent” or “subsidiary” as defined in Section 424(e) and (f) of the Code). Eligible Participants who are Employees of a Subsidiary may be granted Stock Options or Stock Appreciation Rights under the Plan only if the Subsidiary qualifies as an “eligible issuer of service recipient stock” within the meaning of Section 409A of the Code.</w:t>
      </w:r>
    </w:p>
    <w:p>
      <w:pPr>
        <w:spacing w:after="0" w:line="155" w:lineRule="exact"/>
        <w:rPr>
          <w:rFonts w:ascii="Arial" w:cs="Arial" w:eastAsia="Arial" w:hAnsi="Arial"/>
          <w:sz w:val="18"/>
          <w:szCs w:val="18"/>
          <w:color w:val="auto"/>
        </w:rPr>
      </w:pPr>
    </w:p>
    <w:p>
      <w:pPr>
        <w:ind w:left="1620" w:hanging="822"/>
        <w:spacing w:after="0"/>
        <w:tabs>
          <w:tab w:leader="none" w:pos="16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jc w:val="both"/>
        <w:ind w:firstLine="8"/>
        <w:spacing w:after="0" w:line="263" w:lineRule="auto"/>
        <w:tabs>
          <w:tab w:leader="none" w:pos="1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the terms and provisions of the Plan, the Committee, at any time and from time to time, may grant Stock Options to Participants in such number as the Committee shall determine. Each Stock Option grant shall be evidenced by an Award Agreement and shall be subject to the following provisions:</w:t>
      </w:r>
    </w:p>
    <w:p>
      <w:pPr>
        <w:spacing w:after="0" w:line="143" w:lineRule="exact"/>
        <w:rPr>
          <w:rFonts w:ascii="Arial" w:cs="Arial" w:eastAsia="Arial" w:hAnsi="Arial"/>
          <w:sz w:val="18"/>
          <w:szCs w:val="18"/>
          <w:color w:val="auto"/>
        </w:rPr>
      </w:pPr>
    </w:p>
    <w:p>
      <w:pPr>
        <w:jc w:val="both"/>
        <w:ind w:firstLine="1587"/>
        <w:spacing w:after="0" w:line="263" w:lineRule="auto"/>
        <w:tabs>
          <w:tab w:leader="none" w:pos="24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Award Agreement shall separately designate whether the Stock Options are intended to be Incentive Stock Options or Nonqualified Stock Options. Any Incentive Stock Option granted under the Plan shall contain such terms and conditions, consistent with the Plan, as the Committee may determine to be necessary to comply with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left="-8" w:firstLine="1587"/>
        <w:spacing w:after="0" w:line="311" w:lineRule="auto"/>
        <w:tabs>
          <w:tab w:leader="none" w:pos="2429"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Award Agreement shall specify an Exercise Price for each grant of a Stock Option, which shall be at least equal to the Fair Market Value of a Share on the Date of Grant. In the case of an Incentive Stock Option granted to a Ten Percent Shareholder, the Exercise Price for each grant of a Stock Option shall be at least equal to one hundred ten percent (110%) of the Fair Market Value of a Share on the Date of Grant.</w:t>
      </w:r>
    </w:p>
    <w:p>
      <w:pPr>
        <w:spacing w:after="0" w:line="148" w:lineRule="exact"/>
        <w:rPr>
          <w:rFonts w:ascii="Arial" w:cs="Arial" w:eastAsia="Arial" w:hAnsi="Arial"/>
          <w:sz w:val="16"/>
          <w:szCs w:val="16"/>
          <w:color w:val="auto"/>
        </w:rPr>
      </w:pPr>
    </w:p>
    <w:p>
      <w:pPr>
        <w:jc w:val="both"/>
        <w:ind w:left="-8" w:firstLine="1587"/>
        <w:spacing w:after="0" w:line="263" w:lineRule="auto"/>
        <w:tabs>
          <w:tab w:leader="none" w:pos="241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Award Agreement shall specify the expiration date for each Stock Option; provided, however, that no Stock Option shall be exercisable later than the tenth (10th) anniversary of its Date of Grant. In the case of an Incentive Stock Option granted to a Ten Percent Shareholder, the Incentive Stock Option shall not be exercisable later than the fifth (5th) anniversary of its Date of Grant.</w:t>
      </w:r>
    </w:p>
    <w:p>
      <w:pPr>
        <w:spacing w:after="0" w:line="183" w:lineRule="exact"/>
        <w:rPr>
          <w:rFonts w:ascii="Arial" w:cs="Arial" w:eastAsia="Arial" w:hAnsi="Arial"/>
          <w:sz w:val="18"/>
          <w:szCs w:val="18"/>
          <w:color w:val="auto"/>
        </w:rPr>
      </w:pPr>
    </w:p>
    <w:p>
      <w:pPr>
        <w:jc w:val="both"/>
        <w:ind w:left="-8" w:firstLine="1587"/>
        <w:spacing w:after="0" w:line="263" w:lineRule="auto"/>
        <w:tabs>
          <w:tab w:leader="none" w:pos="2429"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Subject to Section 14 of the Plan, the Award Agreement shall specify the period or periods of continuous service by the Participant with the Company or any Subsidiary that is necessary, the Performance Objectives that must be achieved, or any other conditions that must be satisfied, before the Stock Option or installments thereof will become exercisable.</w:t>
      </w:r>
    </w:p>
    <w:p>
      <w:pPr>
        <w:spacing w:after="0" w:line="183" w:lineRule="exact"/>
        <w:rPr>
          <w:rFonts w:ascii="Arial" w:cs="Arial" w:eastAsia="Arial" w:hAnsi="Arial"/>
          <w:sz w:val="18"/>
          <w:szCs w:val="18"/>
          <w:color w:val="auto"/>
        </w:rPr>
      </w:pPr>
    </w:p>
    <w:p>
      <w:pPr>
        <w:jc w:val="both"/>
        <w:ind w:left="-8" w:firstLine="1587"/>
        <w:spacing w:after="0" w:line="254" w:lineRule="auto"/>
        <w:tabs>
          <w:tab w:leader="none" w:pos="241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Award Agreement shall specify whether the Exercise Price shall be payable to the Company: (i) in cash or its equivalent; (ii) subject to such terms, conditions and limitations as the Committee may prescribe, by tendering (either by actual delivery or attestation) unencumbered Shares previously acquired by the Participant exercising such Stock Option having an aggregate Fair Market Value at the time of exercise equal to the total Exercise Price; (iii) by a cashless exercise (including by withholding Shares deliverable upon exercise and through a broker-assisted arrangement to the extent permitted by Applicable Laws); (iv) by any other method approved or accepted by the Committee in its sole discretion; or (v) by a combination of the foregoing methods. The Committee may limit any method of payment for administrative convenience, to comply with Applicable Laws, or otherwise.</w:t>
      </w:r>
    </w:p>
    <w:p>
      <w:pPr>
        <w:spacing w:after="0" w:line="194" w:lineRule="exact"/>
        <w:rPr>
          <w:rFonts w:ascii="Arial" w:cs="Arial" w:eastAsia="Arial" w:hAnsi="Arial"/>
          <w:sz w:val="18"/>
          <w:szCs w:val="18"/>
          <w:color w:val="auto"/>
        </w:rPr>
      </w:pPr>
    </w:p>
    <w:p>
      <w:pPr>
        <w:ind w:left="-8" w:right="20" w:firstLine="1587"/>
        <w:spacing w:after="0" w:line="308" w:lineRule="auto"/>
        <w:tabs>
          <w:tab w:leader="none" w:pos="2399"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Award Agreement shall set forth the extent to which the Participant shall have the right to exercise the Stock Option following termination of the Participant’s employment or provision of services to the Company and/or its Subsidiaries, as the case may be.</w:t>
      </w:r>
    </w:p>
    <w:p>
      <w:pPr>
        <w:spacing w:after="0" w:line="146" w:lineRule="exact"/>
        <w:rPr>
          <w:rFonts w:ascii="Arial" w:cs="Arial" w:eastAsia="Arial" w:hAnsi="Arial"/>
          <w:sz w:val="17"/>
          <w:szCs w:val="17"/>
          <w:color w:val="auto"/>
        </w:rPr>
      </w:pPr>
    </w:p>
    <w:p>
      <w:pPr>
        <w:jc w:val="both"/>
        <w:ind w:left="-8" w:firstLine="1587"/>
        <w:spacing w:after="0" w:line="255" w:lineRule="auto"/>
        <w:tabs>
          <w:tab w:leader="none" w:pos="2429"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anything in this Section 6 to the contrary, Stock Options designated as ISOs shall not be eligible for treatment under the Code as ISOs, and shall instead be treated as Nonqualified Stock Options, to the extent that either (i) the aggregate Fair Market Value of Shares (determined as of the Date of Grant) with respect to which such Stock Options are exercisable for the first time by the Participant during any calendar year (under all plans of the Company and any Subsidiary) exceeds $100,000, taking Stock Options into account in the order in which they were granted; or (ii) such Stock Options otherwise remain exercisable but are not exercised within three (3) months after termination of employment (or such other period of time provided in Section 422 of the Code).</w:t>
      </w:r>
    </w:p>
    <w:p>
      <w:pPr>
        <w:spacing w:after="0" w:line="188" w:lineRule="exact"/>
        <w:rPr>
          <w:rFonts w:ascii="Arial" w:cs="Arial" w:eastAsia="Arial" w:hAnsi="Arial"/>
          <w:sz w:val="18"/>
          <w:szCs w:val="18"/>
          <w:color w:val="auto"/>
        </w:rPr>
      </w:pPr>
    </w:p>
    <w:p>
      <w:pPr>
        <w:ind w:left="1612" w:hanging="822"/>
        <w:spacing w:after="0"/>
        <w:tabs>
          <w:tab w:leader="none" w:pos="161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ind w:left="-8" w:right="100" w:firstLine="8"/>
        <w:spacing w:after="0" w:line="308" w:lineRule="auto"/>
        <w:tabs>
          <w:tab w:leader="none" w:pos="127"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the terms and provisions of the Plan, the Committee, at any time and from time to time, may grant SARs to Participants in such number as the Committee shall determine. Each SAR grant shall be evidenced by an Award Agreement and shall be subject to the following provisions:</w:t>
      </w:r>
    </w:p>
    <w:p>
      <w:pPr>
        <w:spacing w:after="0" w:line="146" w:lineRule="exact"/>
        <w:rPr>
          <w:rFonts w:ascii="Arial" w:cs="Arial" w:eastAsia="Arial" w:hAnsi="Arial"/>
          <w:sz w:val="17"/>
          <w:szCs w:val="17"/>
          <w:color w:val="auto"/>
        </w:rPr>
      </w:pPr>
    </w:p>
    <w:p>
      <w:pPr>
        <w:ind w:left="-8" w:firstLine="1587"/>
        <w:spacing w:after="0" w:line="277" w:lineRule="auto"/>
        <w:tabs>
          <w:tab w:leader="none" w:pos="24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Award Agreement shall specify a Grant Price for each grant of a SAR. The Grant Price for a SAR shall be at least equal to the Fair Market Value of a Share on the Date of Grant.</w:t>
      </w:r>
    </w:p>
    <w:p>
      <w:pPr>
        <w:spacing w:after="0" w:line="170" w:lineRule="exact"/>
        <w:rPr>
          <w:rFonts w:ascii="Arial" w:cs="Arial" w:eastAsia="Arial" w:hAnsi="Arial"/>
          <w:sz w:val="18"/>
          <w:szCs w:val="18"/>
          <w:color w:val="auto"/>
        </w:rPr>
      </w:pPr>
    </w:p>
    <w:p>
      <w:pPr>
        <w:ind w:left="-8" w:firstLine="1587"/>
        <w:spacing w:after="0" w:line="277" w:lineRule="auto"/>
        <w:tabs>
          <w:tab w:leader="none" w:pos="242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Award Agreement shall set forth the expiration date for each SAR; provided, however, that no SAR shall be exercisable later than the tenth (10th) anniversary of its Date of Grant.</w:t>
      </w:r>
    </w:p>
    <w:p>
      <w:pPr>
        <w:spacing w:after="0" w:line="170" w:lineRule="exact"/>
        <w:rPr>
          <w:rFonts w:ascii="Arial" w:cs="Arial" w:eastAsia="Arial" w:hAnsi="Arial"/>
          <w:sz w:val="18"/>
          <w:szCs w:val="18"/>
          <w:color w:val="auto"/>
        </w:rPr>
      </w:pPr>
    </w:p>
    <w:p>
      <w:pPr>
        <w:jc w:val="both"/>
        <w:ind w:left="-8" w:firstLine="1587"/>
        <w:spacing w:after="0" w:line="263" w:lineRule="auto"/>
        <w:tabs>
          <w:tab w:leader="none" w:pos="24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Section 14 of the Plan, the Award Agreement for a SAR shall specify the period or periods of continuous service by the Participant with the Company or any Subsidiary that is necessary, the Performance Objectives that must be achieved, or any other conditions that must be satisfied, before the SAR or installments thereof will become exercisable.</w:t>
      </w:r>
    </w:p>
    <w:p>
      <w:pPr>
        <w:spacing w:after="0" w:line="183" w:lineRule="exact"/>
        <w:rPr>
          <w:rFonts w:ascii="Arial" w:cs="Arial" w:eastAsia="Arial" w:hAnsi="Arial"/>
          <w:sz w:val="18"/>
          <w:szCs w:val="18"/>
          <w:color w:val="auto"/>
        </w:rPr>
      </w:pPr>
    </w:p>
    <w:p>
      <w:pPr>
        <w:jc w:val="both"/>
        <w:ind w:left="-8" w:firstLine="1587"/>
        <w:spacing w:after="0" w:line="259" w:lineRule="auto"/>
        <w:tabs>
          <w:tab w:leader="none" w:pos="2429"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the exercise of a SAR, a Participant shall be entitled to receive payment from the Company in an amount determined by multiplying: (i) the excess of the Fair Market Value of a Share on the date of exercise over the Grant Price, by (ii) the number of Shares with respect to which the SAR is exercised. The payment upon the SAR exercise shall be in cash, Shares of equivalent value, or in some combination thereof, as determined by the Committee in its sole discretion.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ind w:left="492"/>
        <w:spacing w:after="0"/>
        <w:tabs>
          <w:tab w:leader="none" w:pos="5672" w:val="left"/>
          <w:tab w:leader="none" w:pos="9612"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205740" cy="2057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determination of the Committee with respect to the form of payout of SARs shall be set forth in the Award Agreement pertaining to the grant of the Award.</w:t>
      </w:r>
    </w:p>
    <w:p>
      <w:pPr>
        <w:spacing w:after="0" w:line="248" w:lineRule="exact"/>
        <w:rPr>
          <w:sz w:val="20"/>
          <w:szCs w:val="20"/>
          <w:color w:val="auto"/>
        </w:rPr>
      </w:pPr>
    </w:p>
    <w:p>
      <w:pPr>
        <w:ind w:firstLine="1587"/>
        <w:spacing w:after="0" w:line="308" w:lineRule="auto"/>
        <w:tabs>
          <w:tab w:leader="none" w:pos="2427"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Award Agreement shall set forth the extent to which the Participant shall have the right to exercise the SAR following termination of the Participant’s employment with or provision of services to the Company and/or its Subsidiaries, as the case may be.</w:t>
      </w:r>
    </w:p>
    <w:p>
      <w:pPr>
        <w:spacing w:after="0" w:line="142" w:lineRule="exact"/>
        <w:rPr>
          <w:rFonts w:ascii="Arial" w:cs="Arial" w:eastAsia="Arial" w:hAnsi="Arial"/>
          <w:sz w:val="17"/>
          <w:szCs w:val="17"/>
          <w:color w:val="auto"/>
        </w:rPr>
      </w:pPr>
    </w:p>
    <w:p>
      <w:pPr>
        <w:ind w:left="1620" w:hanging="822"/>
        <w:spacing w:after="0"/>
        <w:tabs>
          <w:tab w:leader="none" w:pos="16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jc w:val="both"/>
        <w:ind w:firstLine="8"/>
        <w:spacing w:after="0" w:line="263" w:lineRule="auto"/>
        <w:tabs>
          <w:tab w:leader="none" w:pos="1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to the terms and provisions of the Plan, the Committee, at any time and from time to time, may grant or sell Restricted Shares to Participants in such number as the Committee shall determine. Each grant or sale of Restricted Shares shall be evidenced by an Award Agreement and shall be subject to the following provisions:</w:t>
      </w:r>
    </w:p>
    <w:p>
      <w:pPr>
        <w:spacing w:after="0" w:line="183" w:lineRule="exact"/>
        <w:rPr>
          <w:rFonts w:ascii="Arial" w:cs="Arial" w:eastAsia="Arial" w:hAnsi="Arial"/>
          <w:sz w:val="18"/>
          <w:szCs w:val="18"/>
          <w:color w:val="auto"/>
        </w:rPr>
      </w:pPr>
    </w:p>
    <w:p>
      <w:pPr>
        <w:ind w:right="20" w:firstLine="1587"/>
        <w:spacing w:after="0" w:line="342" w:lineRule="auto"/>
        <w:tabs>
          <w:tab w:leader="none" w:pos="2427" w:val="left"/>
        </w:tabs>
        <w:numPr>
          <w:ilvl w:val="2"/>
          <w:numId w:val="63"/>
        </w:numPr>
        <w:rPr>
          <w:rFonts w:ascii="Arial" w:cs="Arial" w:eastAsia="Arial" w:hAnsi="Arial"/>
          <w:sz w:val="16"/>
          <w:szCs w:val="16"/>
          <w:color w:val="auto"/>
        </w:rPr>
      </w:pPr>
      <w:r>
        <w:rPr>
          <w:rFonts w:ascii="Arial" w:cs="Arial" w:eastAsia="Arial" w:hAnsi="Arial"/>
          <w:sz w:val="16"/>
          <w:szCs w:val="16"/>
          <w:color w:val="auto"/>
        </w:rPr>
        <w:t>Each grant or sale of Restricted Shares shall constitute an immediate transfer of the ownership of Shares to the Participant in consideration of the performance of services, subject to the substantial risk of forfeiture and restrictions on transfer as provided in this Section 8.</w:t>
      </w:r>
    </w:p>
    <w:p>
      <w:pPr>
        <w:spacing w:after="0" w:line="123" w:lineRule="exact"/>
        <w:rPr>
          <w:rFonts w:ascii="Arial" w:cs="Arial" w:eastAsia="Arial" w:hAnsi="Arial"/>
          <w:sz w:val="16"/>
          <w:szCs w:val="16"/>
          <w:color w:val="auto"/>
        </w:rPr>
      </w:pPr>
    </w:p>
    <w:p>
      <w:pPr>
        <w:ind w:firstLine="1587"/>
        <w:spacing w:after="0" w:line="277" w:lineRule="auto"/>
        <w:tabs>
          <w:tab w:leader="none" w:pos="2437" w:val="left"/>
        </w:tabs>
        <w:numPr>
          <w:ilvl w:val="2"/>
          <w:numId w:val="63"/>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per Share at the Date of Grant.</w:t>
      </w:r>
    </w:p>
    <w:p>
      <w:pPr>
        <w:spacing w:after="0" w:line="170" w:lineRule="exact"/>
        <w:rPr>
          <w:rFonts w:ascii="Arial" w:cs="Arial" w:eastAsia="Arial" w:hAnsi="Arial"/>
          <w:sz w:val="18"/>
          <w:szCs w:val="18"/>
          <w:color w:val="auto"/>
        </w:rPr>
      </w:pPr>
    </w:p>
    <w:p>
      <w:pPr>
        <w:ind w:left="2440" w:hanging="853"/>
        <w:spacing w:after="0"/>
        <w:tabs>
          <w:tab w:leader="none" w:pos="2440" w:val="left"/>
        </w:tabs>
        <w:numPr>
          <w:ilvl w:val="2"/>
          <w:numId w:val="63"/>
        </w:numPr>
        <w:rPr>
          <w:rFonts w:ascii="Arial" w:cs="Arial" w:eastAsia="Arial" w:hAnsi="Arial"/>
          <w:sz w:val="16"/>
          <w:szCs w:val="16"/>
          <w:color w:val="auto"/>
        </w:rPr>
      </w:pPr>
      <w:r>
        <w:rPr>
          <w:rFonts w:ascii="Arial" w:cs="Arial" w:eastAsia="Arial" w:hAnsi="Arial"/>
          <w:sz w:val="16"/>
          <w:szCs w:val="16"/>
          <w:color w:val="auto"/>
        </w:rPr>
        <w:t>Subject to Section 14 of the Plan, the Award Agreement shall specify the Period of Restriction for each Restricted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210" w:lineRule="exact"/>
        <w:rPr>
          <w:rFonts w:ascii="Arial" w:cs="Arial" w:eastAsia="Arial" w:hAnsi="Arial"/>
          <w:sz w:val="16"/>
          <w:szCs w:val="16"/>
          <w:color w:val="auto"/>
        </w:rPr>
      </w:pPr>
    </w:p>
    <w:p>
      <w:pPr>
        <w:jc w:val="both"/>
        <w:ind w:firstLine="1587"/>
        <w:spacing w:after="0" w:line="259" w:lineRule="auto"/>
        <w:tabs>
          <w:tab w:leader="none" w:pos="2437" w:val="left"/>
        </w:tabs>
        <w:numPr>
          <w:ilvl w:val="2"/>
          <w:numId w:val="63"/>
        </w:numPr>
        <w:rPr>
          <w:rFonts w:ascii="Arial" w:cs="Arial" w:eastAsia="Arial" w:hAnsi="Arial"/>
          <w:sz w:val="18"/>
          <w:szCs w:val="18"/>
          <w:color w:val="auto"/>
        </w:rPr>
      </w:pPr>
      <w:r>
        <w:rPr>
          <w:rFonts w:ascii="Arial" w:cs="Arial" w:eastAsia="Arial" w:hAnsi="Arial"/>
          <w:sz w:val="18"/>
          <w:szCs w:val="18"/>
          <w:color w:val="auto"/>
        </w:rPr>
        <w:t>During the applicable Period of Restriction, the transferability of the Restricted Shares shall be prohibited or restricted in the manner and to the extent prescribed by the Committee and set forth in the Award Agreement (which restrictions may include, without limitation, rights of repurchase or first refusal in the Company or provisions subjecting the Restricted Shares to a continuing substantial risk of forfeiture in the hands of any transferee).</w:t>
      </w:r>
    </w:p>
    <w:p>
      <w:pPr>
        <w:spacing w:after="0" w:line="186" w:lineRule="exact"/>
        <w:rPr>
          <w:rFonts w:ascii="Arial" w:cs="Arial" w:eastAsia="Arial" w:hAnsi="Arial"/>
          <w:sz w:val="18"/>
          <w:szCs w:val="18"/>
          <w:color w:val="auto"/>
        </w:rPr>
      </w:pPr>
    </w:p>
    <w:p>
      <w:pPr>
        <w:jc w:val="both"/>
        <w:ind w:firstLine="1587"/>
        <w:spacing w:after="0" w:line="263" w:lineRule="auto"/>
        <w:tabs>
          <w:tab w:leader="none" w:pos="2427" w:val="left"/>
        </w:tabs>
        <w:numPr>
          <w:ilvl w:val="2"/>
          <w:numId w:val="63"/>
        </w:numPr>
        <w:rPr>
          <w:rFonts w:ascii="Arial" w:cs="Arial" w:eastAsia="Arial" w:hAnsi="Arial"/>
          <w:sz w:val="18"/>
          <w:szCs w:val="18"/>
          <w:color w:val="auto"/>
        </w:rPr>
      </w:pPr>
      <w:r>
        <w:rPr>
          <w:rFonts w:ascii="Arial" w:cs="Arial" w:eastAsia="Arial" w:hAnsi="Arial"/>
          <w:sz w:val="18"/>
          <w:szCs w:val="18"/>
          <w:color w:val="auto"/>
        </w:rPr>
        <w:t>Unless otherwise determined by the Committee in its sole discretion and set forth in the Award Agreement, to the extent permitted or required by Applicable Law, as determined by the Committee, Participants holding Restricted Shares may be granted the right to exercise full voting rights with respect to those Shares during the Period of Restriction.</w:t>
      </w:r>
    </w:p>
    <w:p>
      <w:pPr>
        <w:spacing w:after="0" w:line="183" w:lineRule="exact"/>
        <w:rPr>
          <w:rFonts w:ascii="Arial" w:cs="Arial" w:eastAsia="Arial" w:hAnsi="Arial"/>
          <w:sz w:val="18"/>
          <w:szCs w:val="18"/>
          <w:color w:val="auto"/>
        </w:rPr>
      </w:pPr>
    </w:p>
    <w:p>
      <w:pPr>
        <w:jc w:val="both"/>
        <w:ind w:firstLine="1587"/>
        <w:spacing w:after="0" w:line="263" w:lineRule="auto"/>
        <w:tabs>
          <w:tab w:leader="none" w:pos="2407"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spacing w:after="0" w:line="183" w:lineRule="exact"/>
        <w:rPr>
          <w:rFonts w:ascii="Arial" w:cs="Arial" w:eastAsia="Arial" w:hAnsi="Arial"/>
          <w:sz w:val="18"/>
          <w:szCs w:val="18"/>
          <w:color w:val="auto"/>
        </w:rPr>
      </w:pPr>
    </w:p>
    <w:p>
      <w:pPr>
        <w:jc w:val="both"/>
        <w:ind w:firstLine="1587"/>
        <w:spacing w:after="0" w:line="257" w:lineRule="auto"/>
        <w:tabs>
          <w:tab w:leader="none" w:pos="2437" w:val="left"/>
        </w:tabs>
        <w:numPr>
          <w:ilvl w:val="2"/>
          <w:numId w:val="63"/>
        </w:numPr>
        <w:rPr>
          <w:rFonts w:ascii="Arial" w:cs="Arial" w:eastAsia="Arial" w:hAnsi="Arial"/>
          <w:sz w:val="18"/>
          <w:szCs w:val="18"/>
          <w:color w:val="auto"/>
        </w:rPr>
      </w:pPr>
      <w:r>
        <w:rPr>
          <w:rFonts w:ascii="Arial" w:cs="Arial" w:eastAsia="Arial" w:hAnsi="Arial"/>
          <w:sz w:val="18"/>
          <w:szCs w:val="18"/>
          <w:color w:val="auto"/>
        </w:rPr>
        <w:t>Unless otherwise directed by the Committee, (i) all certificates representing Restricted Shares will be held in custody by the Company until all restrictions thereon have lapsed, together with a stock power or powers executed by the Participant in whose name such certificates are registered, endorsed in blank and covering such Shares, or (ii) all uncertificated Restricted Shares will be in book entry form with appropriate restrictions entered into the records of the Company’s transfer agent relating to the transfer of such Restricted Shares, and any required notice shall be provided.</w:t>
      </w:r>
    </w:p>
    <w:p>
      <w:pPr>
        <w:spacing w:after="0" w:line="187" w:lineRule="exact"/>
        <w:rPr>
          <w:rFonts w:ascii="Arial" w:cs="Arial" w:eastAsia="Arial" w:hAnsi="Arial"/>
          <w:sz w:val="18"/>
          <w:szCs w:val="18"/>
          <w:color w:val="auto"/>
        </w:rPr>
      </w:pPr>
    </w:p>
    <w:p>
      <w:pPr>
        <w:jc w:val="both"/>
        <w:ind w:firstLine="1587"/>
        <w:spacing w:after="0" w:line="259" w:lineRule="auto"/>
        <w:tabs>
          <w:tab w:leader="none" w:pos="243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Committee may provide in an Award Agreement that the Award of Restricted Shares is conditioned upon the Participant making or refraining from making an election with respect to the Award under Section 83(b) of the Code. If a Participant makes an election pursuant to Section 83(b) of the Code concerning a Restricted Shares Award, the Participant shall be required to file promptly a copy of such election with the Company.</w:t>
      </w:r>
    </w:p>
    <w:p>
      <w:pPr>
        <w:spacing w:after="0" w:line="182" w:lineRule="exact"/>
        <w:rPr>
          <w:rFonts w:ascii="Arial" w:cs="Arial" w:eastAsia="Arial" w:hAnsi="Arial"/>
          <w:sz w:val="18"/>
          <w:szCs w:val="18"/>
          <w:color w:val="auto"/>
        </w:rPr>
      </w:pPr>
    </w:p>
    <w:p>
      <w:pPr>
        <w:ind w:left="1620" w:hanging="822"/>
        <w:spacing w:after="0"/>
        <w:tabs>
          <w:tab w:leader="none" w:pos="162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w:t>
      </w:r>
    </w:p>
    <w:p>
      <w:pPr>
        <w:spacing w:after="0" w:line="229" w:lineRule="exact"/>
        <w:rPr>
          <w:sz w:val="20"/>
          <w:szCs w:val="20"/>
          <w:color w:val="auto"/>
        </w:rPr>
      </w:pPr>
    </w:p>
    <w:p>
      <w:pPr>
        <w:jc w:val="both"/>
        <w:ind w:firstLine="8"/>
        <w:spacing w:after="0" w:line="263" w:lineRule="auto"/>
        <w:tabs>
          <w:tab w:leader="none" w:pos="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the terms and provisions of the Plan, the Committee, at any time and from time to time, may grant or sell Restricted Share Units to Participants in such number as the Committee shall determine. Each grant or sale of Restricted Share Units shall be evidenced by an Award Agreement and shall be subject to the following provisions:</w:t>
      </w:r>
    </w:p>
    <w:p>
      <w:pPr>
        <w:spacing w:after="0" w:line="183" w:lineRule="exact"/>
        <w:rPr>
          <w:rFonts w:ascii="Arial" w:cs="Arial" w:eastAsia="Arial" w:hAnsi="Arial"/>
          <w:sz w:val="18"/>
          <w:szCs w:val="18"/>
          <w:color w:val="auto"/>
        </w:rPr>
      </w:pPr>
    </w:p>
    <w:p>
      <w:pPr>
        <w:ind w:firstLine="1587"/>
        <w:spacing w:after="0" w:line="277" w:lineRule="auto"/>
        <w:tabs>
          <w:tab w:leader="none" w:pos="24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such grant or sale of Restricted Share Units shall constitute the agreement by the Company to issue or deliver Shares to the Participant following the end of the Period of Restriction in consideration of the performance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firstLine="1587"/>
        <w:spacing w:after="0" w:line="277" w:lineRule="auto"/>
        <w:tabs>
          <w:tab w:leader="none" w:pos="24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such grant or sale of Restricted Share Units may be made without additional consideration or in consideration of a payment by such Participant that is less than the Fair Market Value per Share at the Date of Grant.</w:t>
      </w:r>
    </w:p>
    <w:p>
      <w:pPr>
        <w:spacing w:after="0" w:line="170" w:lineRule="exact"/>
        <w:rPr>
          <w:rFonts w:ascii="Arial" w:cs="Arial" w:eastAsia="Arial" w:hAnsi="Arial"/>
          <w:sz w:val="18"/>
          <w:szCs w:val="18"/>
          <w:color w:val="auto"/>
        </w:rPr>
      </w:pPr>
    </w:p>
    <w:p>
      <w:pPr>
        <w:ind w:left="2440" w:hanging="853"/>
        <w:spacing w:after="0"/>
        <w:tabs>
          <w:tab w:leader="none" w:pos="24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Subject to Section 14 of the Plan, the Award Agreement shall specify the Period of Restriction for each Restricted Share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Unit grant.</w:t>
      </w:r>
    </w:p>
    <w:p>
      <w:pPr>
        <w:spacing w:after="0" w:line="210" w:lineRule="exact"/>
        <w:rPr>
          <w:rFonts w:ascii="Arial" w:cs="Arial" w:eastAsia="Arial" w:hAnsi="Arial"/>
          <w:sz w:val="16"/>
          <w:szCs w:val="16"/>
          <w:color w:val="auto"/>
        </w:rPr>
      </w:pPr>
    </w:p>
    <w:p>
      <w:pPr>
        <w:ind w:firstLine="1587"/>
        <w:spacing w:after="0" w:line="277" w:lineRule="auto"/>
        <w:tabs>
          <w:tab w:leader="none" w:pos="24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Award Agreement shall set forth the payment date for the Restricted Share Units, which date shall not be earlier than the end of the applicable Period of Restriction.</w:t>
      </w:r>
    </w:p>
    <w:p>
      <w:pPr>
        <w:spacing w:after="0" w:line="170" w:lineRule="exact"/>
        <w:rPr>
          <w:rFonts w:ascii="Arial" w:cs="Arial" w:eastAsia="Arial" w:hAnsi="Arial"/>
          <w:sz w:val="18"/>
          <w:szCs w:val="18"/>
          <w:color w:val="auto"/>
        </w:rPr>
      </w:pPr>
    </w:p>
    <w:p>
      <w:pPr>
        <w:ind w:firstLine="1587"/>
        <w:spacing w:after="0" w:line="277" w:lineRule="auto"/>
        <w:tabs>
          <w:tab w:leader="none" w:pos="242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Award Agreement shall specify whether the Company shall pay earned Restricted Share Units by issuance or delivery of Shares or by payment in cash of an amount equal to the Fair Market Value of such Shares (or a combination thereof).</w:t>
      </w:r>
    </w:p>
    <w:p>
      <w:pPr>
        <w:spacing w:after="0" w:line="166" w:lineRule="exact"/>
        <w:rPr>
          <w:rFonts w:ascii="Arial" w:cs="Arial" w:eastAsia="Arial" w:hAnsi="Arial"/>
          <w:sz w:val="18"/>
          <w:szCs w:val="18"/>
          <w:color w:val="auto"/>
        </w:rPr>
      </w:pPr>
    </w:p>
    <w:p>
      <w:pPr>
        <w:ind w:left="1720" w:hanging="922"/>
        <w:spacing w:after="0"/>
        <w:tabs>
          <w:tab w:leader="none" w:pos="1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Shares and Performance Units</w:t>
      </w:r>
    </w:p>
    <w:p>
      <w:pPr>
        <w:spacing w:after="0" w:line="229" w:lineRule="exact"/>
        <w:rPr>
          <w:sz w:val="20"/>
          <w:szCs w:val="20"/>
          <w:color w:val="auto"/>
        </w:rPr>
      </w:pPr>
    </w:p>
    <w:p>
      <w:pPr>
        <w:jc w:val="both"/>
        <w:ind w:firstLine="8"/>
        <w:spacing w:after="0" w:line="263" w:lineRule="auto"/>
        <w:tabs>
          <w:tab w:leader="none" w:pos="1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terms and provisions of the Plan, the Committee, at any time and from time to time, may grant Performance Shares or Performance Units to Participants in such number as the Committee shall determine. Each grant of Performance Shares or Performance Units shall be evidenced by an Award Agreement and shall be subject to the following provisions:</w:t>
      </w:r>
    </w:p>
    <w:p>
      <w:pPr>
        <w:spacing w:after="0" w:line="183" w:lineRule="exact"/>
        <w:rPr>
          <w:rFonts w:ascii="Arial" w:cs="Arial" w:eastAsia="Arial" w:hAnsi="Arial"/>
          <w:sz w:val="18"/>
          <w:szCs w:val="18"/>
          <w:color w:val="auto"/>
        </w:rPr>
      </w:pPr>
    </w:p>
    <w:p>
      <w:pPr>
        <w:jc w:val="both"/>
        <w:ind w:firstLine="1587"/>
        <w:spacing w:after="0" w:line="259" w:lineRule="auto"/>
        <w:tabs>
          <w:tab w:leader="none" w:pos="2427" w:val="left"/>
        </w:tabs>
        <w:numPr>
          <w:ilvl w:val="2"/>
          <w:numId w:val="68"/>
        </w:numPr>
        <w:rPr>
          <w:rFonts w:ascii="Arial" w:cs="Arial" w:eastAsia="Arial" w:hAnsi="Arial"/>
          <w:sz w:val="18"/>
          <w:szCs w:val="18"/>
          <w:color w:val="auto"/>
        </w:rPr>
      </w:pPr>
      <w:r>
        <w:rPr>
          <w:rFonts w:ascii="Arial" w:cs="Arial" w:eastAsia="Arial" w:hAnsi="Arial"/>
          <w:sz w:val="18"/>
          <w:szCs w:val="18"/>
          <w:color w:val="auto"/>
        </w:rPr>
        <w:t>Each Performance Unit shall have an initial dollar value determined by the Committee. Each Performance Share shall have an initial value equal to the Fair Market Value of a Share on the Date of Grant. The Committee shall set Performance Objectives in its sole discretion which, depending on the extent to which they are met, will determine the value and/or number of Performance Units or Performance Shares that will be paid to the Participant.</w:t>
      </w:r>
    </w:p>
    <w:p>
      <w:pPr>
        <w:spacing w:after="0" w:line="186" w:lineRule="exact"/>
        <w:rPr>
          <w:rFonts w:ascii="Arial" w:cs="Arial" w:eastAsia="Arial" w:hAnsi="Arial"/>
          <w:sz w:val="18"/>
          <w:szCs w:val="18"/>
          <w:color w:val="auto"/>
        </w:rPr>
      </w:pPr>
    </w:p>
    <w:p>
      <w:pPr>
        <w:ind w:firstLine="1587"/>
        <w:spacing w:after="0" w:line="277" w:lineRule="auto"/>
        <w:tabs>
          <w:tab w:leader="none" w:pos="2437"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Subject to Section 14 of the Plan, the Award Agreement shall specify the Performance Period for each grant of Performance Shares and Performance Units.</w:t>
      </w:r>
    </w:p>
    <w:p>
      <w:pPr>
        <w:spacing w:after="0" w:line="170" w:lineRule="exact"/>
        <w:rPr>
          <w:rFonts w:ascii="Arial" w:cs="Arial" w:eastAsia="Arial" w:hAnsi="Arial"/>
          <w:sz w:val="18"/>
          <w:szCs w:val="18"/>
          <w:color w:val="auto"/>
        </w:rPr>
      </w:pPr>
    </w:p>
    <w:p>
      <w:pPr>
        <w:jc w:val="both"/>
        <w:ind w:firstLine="1587"/>
        <w:spacing w:after="0" w:line="286" w:lineRule="auto"/>
        <w:tabs>
          <w:tab w:leader="none" w:pos="2427" w:val="left"/>
        </w:tabs>
        <w:numPr>
          <w:ilvl w:val="2"/>
          <w:numId w:val="68"/>
        </w:numPr>
        <w:rPr>
          <w:rFonts w:ascii="Arial" w:cs="Arial" w:eastAsia="Arial" w:hAnsi="Arial"/>
          <w:sz w:val="17"/>
          <w:szCs w:val="17"/>
          <w:color w:val="auto"/>
        </w:rPr>
      </w:pPr>
      <w:r>
        <w:rPr>
          <w:rFonts w:ascii="Arial" w:cs="Arial" w:eastAsia="Arial" w:hAnsi="Arial"/>
          <w:sz w:val="17"/>
          <w:szCs w:val="17"/>
          <w:color w:val="auto"/>
        </w:rPr>
        <w:t>Subject to the terms of the Plan, after the applicable Performance Period has ended, the holder of Performance Units or Performance Shares shall be entitled to receive payout on the value and number of Performance Units or Performance Shares earned by the Participant over the Performance Period, based on the extent to which the corresponding Performance Objectives have been achieved.</w:t>
      </w:r>
    </w:p>
    <w:p>
      <w:pPr>
        <w:spacing w:after="0" w:line="165" w:lineRule="exact"/>
        <w:rPr>
          <w:rFonts w:ascii="Arial" w:cs="Arial" w:eastAsia="Arial" w:hAnsi="Arial"/>
          <w:sz w:val="17"/>
          <w:szCs w:val="17"/>
          <w:color w:val="auto"/>
        </w:rPr>
      </w:pPr>
    </w:p>
    <w:p>
      <w:pPr>
        <w:jc w:val="both"/>
        <w:ind w:firstLine="1587"/>
        <w:spacing w:after="0" w:line="263" w:lineRule="auto"/>
        <w:tabs>
          <w:tab w:leader="none" w:pos="2437" w:val="left"/>
        </w:tabs>
        <w:numPr>
          <w:ilvl w:val="2"/>
          <w:numId w:val="68"/>
        </w:numPr>
        <w:rPr>
          <w:rFonts w:ascii="Arial" w:cs="Arial" w:eastAsia="Arial" w:hAnsi="Arial"/>
          <w:sz w:val="18"/>
          <w:szCs w:val="18"/>
          <w:color w:val="auto"/>
        </w:rPr>
      </w:pPr>
      <w:r>
        <w:rPr>
          <w:rFonts w:ascii="Arial" w:cs="Arial" w:eastAsia="Arial" w:hAnsi="Arial"/>
          <w:sz w:val="18"/>
          <w:szCs w:val="18"/>
          <w:color w:val="auto"/>
        </w:rPr>
        <w:t>Each Award Agreement shall set forth the date for settlement of the Performance Shares and Performance Units, which date shall not be earlier than the end of the Performance Period and following the Committee’s determination of the achievement of applicable Performance Objectives and related goals established by the Committee.</w:t>
      </w:r>
    </w:p>
    <w:p>
      <w:pPr>
        <w:spacing w:after="0" w:line="183" w:lineRule="exact"/>
        <w:rPr>
          <w:rFonts w:ascii="Arial" w:cs="Arial" w:eastAsia="Arial" w:hAnsi="Arial"/>
          <w:sz w:val="18"/>
          <w:szCs w:val="18"/>
          <w:color w:val="auto"/>
        </w:rPr>
      </w:pPr>
    </w:p>
    <w:p>
      <w:pPr>
        <w:jc w:val="both"/>
        <w:ind w:firstLine="1587"/>
        <w:spacing w:after="0" w:line="263" w:lineRule="auto"/>
        <w:tabs>
          <w:tab w:leader="none" w:pos="2427"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Award Agreement shall specify whether the earned Performance Shares and earned Performance Units shall be paid by the Company by issuance or delivery of Shares, Restricted Shares or Restricted Share Units or by payment in cash of an amount equal to the Fair Market Value of such Shares (or a combination thereof).</w:t>
      </w:r>
    </w:p>
    <w:p>
      <w:pPr>
        <w:spacing w:after="0" w:line="179" w:lineRule="exact"/>
        <w:rPr>
          <w:rFonts w:ascii="Arial" w:cs="Arial" w:eastAsia="Arial" w:hAnsi="Arial"/>
          <w:sz w:val="18"/>
          <w:szCs w:val="18"/>
          <w:color w:val="auto"/>
        </w:rPr>
      </w:pPr>
    </w:p>
    <w:p>
      <w:pPr>
        <w:ind w:left="1700" w:hanging="902"/>
        <w:spacing w:after="0"/>
        <w:tabs>
          <w:tab w:leader="none" w:pos="170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587"/>
        <w:spacing w:after="0" w:line="270" w:lineRule="auto"/>
        <w:tabs>
          <w:tab w:leader="none" w:pos="2427"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Subject to the terms and provisions of the Plan, the Committee, at any time and from time to time, may grant or sell Other Stock-Based Awards that may be denominated or payable in, valued in whole or in part by reference to, or otherwise based on, or related to, Shares or factors that may influence the value of Shares, including, without limitation, convertible or exchangeable debt securities, other rights convertible or exchangeable into Shares, purchase rights for Shares, awards with value and payment contingent upon performance of the Company or business units thereof or any other factors designated by the Committee, and awards valued by reference to the book value of Shares or the value of securities of, or the performance of specified Subsidiaries or affiliates or other business units of, the Company. The Committee shall determine the terms and conditions of such awards, including the Period of Restriction, if applicable. Shares issued or delivered pursuant to an award in the nature of a purchase right granted under this Section 11 shall be purchased for such consideration, paid for at such times, by such methods, and in such forms, including, without limitation, cash, Shares, other awards, notes or other property, as the Committee shall determine.</w:t>
      </w:r>
    </w:p>
    <w:p>
      <w:pPr>
        <w:spacing w:after="0" w:line="180" w:lineRule="exact"/>
        <w:rPr>
          <w:rFonts w:ascii="Arial" w:cs="Arial" w:eastAsia="Arial" w:hAnsi="Arial"/>
          <w:sz w:val="17"/>
          <w:szCs w:val="17"/>
          <w:color w:val="auto"/>
        </w:rPr>
      </w:pPr>
    </w:p>
    <w:p>
      <w:pPr>
        <w:ind w:left="2440" w:hanging="853"/>
        <w:spacing w:after="0"/>
        <w:tabs>
          <w:tab w:leader="none" w:pos="2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Cash awards, as an element of or supplement to any other Award granted under the Plan, may also be granted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jc w:val="both"/>
        <w:ind w:firstLine="1587"/>
        <w:spacing w:after="0" w:line="286" w:lineRule="auto"/>
        <w:tabs>
          <w:tab w:leader="none" w:pos="2427" w:val="left"/>
        </w:tabs>
        <w:numPr>
          <w:ilvl w:val="1"/>
          <w:numId w:val="71"/>
        </w:numPr>
        <w:rPr>
          <w:rFonts w:ascii="Arial" w:cs="Arial" w:eastAsia="Arial" w:hAnsi="Arial"/>
          <w:sz w:val="17"/>
          <w:szCs w:val="17"/>
          <w:color w:val="auto"/>
        </w:rPr>
      </w:pPr>
      <w:r>
        <w:rPr>
          <w:rFonts w:ascii="Arial" w:cs="Arial" w:eastAsia="Arial" w:hAnsi="Arial"/>
          <w:sz w:val="17"/>
          <w:szCs w:val="17"/>
          <w:color w:val="auto"/>
        </w:rPr>
        <w:t>Subject to Section 14 of the Plan, the Committee is authorized to grant Shares purely as a “bonus” and not subject to any restrictions or conditions, or to grant Shares or other Awards in lieu of obligations of the Company or a Subsidiary to pay cash or deliver other property under the Plan or under other plans or compensatory arrangements, subject to such terms as shall be determined by the Committee.</w:t>
      </w:r>
    </w:p>
    <w:p>
      <w:pPr>
        <w:spacing w:after="0" w:line="161" w:lineRule="exact"/>
        <w:rPr>
          <w:rFonts w:ascii="Arial" w:cs="Arial" w:eastAsia="Arial" w:hAnsi="Arial"/>
          <w:sz w:val="17"/>
          <w:szCs w:val="17"/>
          <w:color w:val="auto"/>
        </w:rPr>
      </w:pPr>
    </w:p>
    <w:p>
      <w:pPr>
        <w:ind w:left="1680" w:hanging="882"/>
        <w:spacing w:after="0"/>
        <w:tabs>
          <w:tab w:leader="none" w:pos="1680" w:val="left"/>
        </w:tabs>
        <w:numPr>
          <w:ilvl w:val="0"/>
          <w:numId w:val="72"/>
        </w:numPr>
        <w:rPr>
          <w:rFonts w:ascii="Arial" w:cs="Arial" w:eastAsia="Arial" w:hAnsi="Arial"/>
          <w:sz w:val="18"/>
          <w:szCs w:val="18"/>
          <w:b w:val="1"/>
          <w:bCs w:val="1"/>
          <w:color w:val="010000"/>
        </w:rPr>
      </w:pPr>
      <w:r>
        <w:rPr>
          <w:rFonts w:ascii="Arial" w:cs="Arial" w:eastAsia="Arial" w:hAnsi="Arial"/>
          <w:sz w:val="18"/>
          <w:szCs w:val="18"/>
          <w:b w:val="1"/>
          <w:bCs w:val="1"/>
          <w:color w:val="auto"/>
        </w:rPr>
        <w:t>Employee Stock Purchase Sub-Plan</w:t>
      </w:r>
    </w:p>
    <w:p>
      <w:pPr>
        <w:spacing w:after="0" w:line="229" w:lineRule="exact"/>
        <w:rPr>
          <w:sz w:val="20"/>
          <w:szCs w:val="20"/>
          <w:color w:val="auto"/>
        </w:rPr>
      </w:pPr>
    </w:p>
    <w:p>
      <w:pPr>
        <w:ind w:right="40" w:firstLine="880"/>
        <w:spacing w:after="0" w:line="277" w:lineRule="auto"/>
        <w:rPr>
          <w:sz w:val="20"/>
          <w:szCs w:val="20"/>
          <w:color w:val="auto"/>
        </w:rPr>
      </w:pPr>
      <w:r>
        <w:rPr>
          <w:rFonts w:ascii="Arial" w:cs="Arial" w:eastAsia="Arial" w:hAnsi="Arial"/>
          <w:sz w:val="18"/>
          <w:szCs w:val="18"/>
          <w:color w:val="auto"/>
        </w:rPr>
        <w:t xml:space="preserve">Subject to the terms and conditions of the Plan, the Committee may, at any time and from time to time, grant Purchase Rights on the terms, and subject to the conditions, of the Employee Stock Purchase Sub-Plan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6" w:lineRule="exact"/>
        <w:rPr>
          <w:sz w:val="20"/>
          <w:szCs w:val="20"/>
          <w:color w:val="auto"/>
        </w:rPr>
      </w:pPr>
    </w:p>
    <w:p>
      <w:pPr>
        <w:ind w:left="1680" w:hanging="882"/>
        <w:spacing w:after="0"/>
        <w:tabs>
          <w:tab w:leader="none" w:pos="1680" w:val="left"/>
        </w:tabs>
        <w:numPr>
          <w:ilvl w:val="0"/>
          <w:numId w:val="73"/>
        </w:numPr>
        <w:rPr>
          <w:rFonts w:ascii="Arial" w:cs="Arial" w:eastAsia="Arial" w:hAnsi="Arial"/>
          <w:sz w:val="18"/>
          <w:szCs w:val="18"/>
          <w:b w:val="1"/>
          <w:bCs w:val="1"/>
          <w:color w:val="010000"/>
        </w:rPr>
      </w:pPr>
      <w:r>
        <w:rPr>
          <w:rFonts w:ascii="Arial" w:cs="Arial" w:eastAsia="Arial" w:hAnsi="Arial"/>
          <w:sz w:val="18"/>
          <w:szCs w:val="18"/>
          <w:b w:val="1"/>
          <w:bCs w:val="1"/>
          <w:color w:val="auto"/>
        </w:rPr>
        <w:t>Dividend Equivalents</w:t>
      </w:r>
    </w:p>
    <w:p>
      <w:pPr>
        <w:spacing w:after="0" w:line="229" w:lineRule="exact"/>
        <w:rPr>
          <w:sz w:val="20"/>
          <w:szCs w:val="20"/>
          <w:color w:val="auto"/>
        </w:rPr>
      </w:pPr>
    </w:p>
    <w:p>
      <w:pPr>
        <w:jc w:val="both"/>
        <w:ind w:firstLine="8"/>
        <w:spacing w:after="0" w:line="254" w:lineRule="auto"/>
        <w:tabs>
          <w:tab w:leader="none" w:pos="1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the discretion of the Committee, Awards granted pursuant to the Plan may provide Participants with the right to receive Dividend Equivalents, which may be paid currently or credited to an account for the Participants, and may be settled in cash and/or Shares, as determined by the Committee in its sole discretion, subject in each case to such terms and conditions as the Committee shall establish. No Dividend Equivalents shall relate to Shares underlying a Stock Option or SAR unless such Dividend Equivalent rights are explicitly set forth as a separate arrangement and do not cause any such Stock Option or SAR to be subject to Section 409A of the Code. Except as provided by the Committee in connection with a Change in Control or the termination of a Participant’s employment or service with the Company or a Subsidiary, any Dividend Equivalents with respect to any Award that vest based on the achievement of Performance Objectives shall be accumulated until such Award is earned, and such Dividend Equivalents shall not be paid if the Performance Objectives are not satisfied.</w:t>
      </w:r>
    </w:p>
    <w:p>
      <w:pPr>
        <w:spacing w:after="0" w:line="188" w:lineRule="exact"/>
        <w:rPr>
          <w:sz w:val="20"/>
          <w:szCs w:val="20"/>
          <w:color w:val="auto"/>
        </w:rPr>
      </w:pPr>
    </w:p>
    <w:p>
      <w:pPr>
        <w:ind w:left="1680" w:hanging="882"/>
        <w:spacing w:after="0"/>
        <w:tabs>
          <w:tab w:leader="none" w:pos="1680" w:val="left"/>
        </w:tabs>
        <w:numPr>
          <w:ilvl w:val="0"/>
          <w:numId w:val="75"/>
        </w:numPr>
        <w:rPr>
          <w:rFonts w:ascii="Arial" w:cs="Arial" w:eastAsia="Arial" w:hAnsi="Arial"/>
          <w:sz w:val="18"/>
          <w:szCs w:val="18"/>
          <w:b w:val="1"/>
          <w:bCs w:val="1"/>
          <w:color w:val="010000"/>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6"/>
          <w:szCs w:val="16"/>
          <w:color w:val="auto"/>
        </w:rPr>
        <w:t>Notwithstanding any other provision of the Plan to the contrary, Awards granted under the Plan shall vest no earlier than the first anniversary of the date the Award is granted (excluding, for this purpose, any (i) Awards granted pursuant to Section 12 of the Plan, (ii) Shares delivered in lieu of fully vested cash Awards or deferred compensation obligations related to Director fees, (iii) Substitute Awards, and (iv) Awards to Directors that vest on the earlier of the one year anniversary of the date of grant or the next annual meeting of shareholders (provided that such vesting period may not be less than fifty (50) weeks after grant)); provided, however, that the Committee may grant Awards without regard to the foregoing minimum vesting requirement with respect to a maximum of five percent (5%) of the total number of Shares remaining available for issuance under the Plan under Section 3(b) as of the Restatement Date (subject to adjustment under Section 18); and, provided further, for the avoidance of doubt, that the foregoing restriction does not apply to the Committee’s discretion to provide for accelerated exercisability or vesting of any Award, including in cases of retirement, death, disability, other termination of employment or a Change in Control, in the terms of the Award or otherwise.</w:t>
      </w:r>
    </w:p>
    <w:p>
      <w:pPr>
        <w:spacing w:after="0" w:line="162" w:lineRule="exact"/>
        <w:rPr>
          <w:sz w:val="20"/>
          <w:szCs w:val="20"/>
          <w:color w:val="auto"/>
        </w:rPr>
      </w:pPr>
    </w:p>
    <w:p>
      <w:pPr>
        <w:ind w:left="1720" w:hanging="922"/>
        <w:spacing w:after="0"/>
        <w:tabs>
          <w:tab w:leader="none" w:pos="1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w:t>
      </w:r>
    </w:p>
    <w:p>
      <w:pPr>
        <w:spacing w:after="0" w:line="229" w:lineRule="exact"/>
        <w:rPr>
          <w:sz w:val="20"/>
          <w:szCs w:val="20"/>
          <w:color w:val="auto"/>
        </w:rPr>
      </w:pPr>
    </w:p>
    <w:p>
      <w:pPr>
        <w:jc w:val="both"/>
        <w:ind w:firstLine="8"/>
        <w:spacing w:after="0" w:line="268" w:lineRule="auto"/>
        <w:tabs>
          <w:tab w:leader="none" w:pos="137" w:val="left"/>
        </w:tabs>
        <w:numPr>
          <w:ilvl w:val="0"/>
          <w:numId w:val="77"/>
        </w:numPr>
        <w:rPr>
          <w:rFonts w:ascii="Arial" w:cs="Arial" w:eastAsia="Arial" w:hAnsi="Arial"/>
          <w:sz w:val="17"/>
          <w:szCs w:val="17"/>
          <w:color w:val="auto"/>
        </w:rPr>
      </w:pPr>
      <w:r>
        <w:rPr>
          <w:rFonts w:ascii="Arial" w:cs="Arial" w:eastAsia="Arial" w:hAnsi="Arial"/>
          <w:sz w:val="17"/>
          <w:szCs w:val="17"/>
          <w:color w:val="auto"/>
        </w:rPr>
        <w:t>Awards granted under the Plan shall be designed and administered in such a manner that they are either exempt from the application of, or comply with, the requirements of Section 409A of the Code. To the extent that the Committee determines that any award granted under the Plan is subject to Section 409A of the Code, the Award Agreement shall incorporate the terms and conditions necessary to avoid the imposition of an additional tax under Section 409A of the Code upon a Participant. Notwithstanding any other provision of the Plan or any Award Agreement (unless the Award Agreement provides otherwise with specific reference to this Section 15): (a) an Award shall not be granted, deferred, accelerated, extended, paid out, settled, substituted or modified under the Plan in a manner that would result in the imposition of an additional tax under Section 409A of the Code upon a Participant; and (b) if an Award is subject to Section 409A of the Code, and if the Participant holding the award is a “specified employee” (as defined in Section 409A of the Code, with such classification to be determined in accordance with the methodology established by the Company), no distribution or payment of any amount shall be made before a date that is six (6) months following the date of such Participant’s “separation from service” (as defined in Section 409A of the Code) or, if earlier, the date of the Participant’s death.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The Company shall not be liable to any Participant for any tax, interest, or penalties the Participant might owe as a result of the grant, holding, vesting, exercise, or payment of any Award under the Plan.</w:t>
      </w:r>
    </w:p>
    <w:p>
      <w:pPr>
        <w:spacing w:after="0" w:line="180" w:lineRule="exact"/>
        <w:rPr>
          <w:rFonts w:ascii="Arial" w:cs="Arial" w:eastAsia="Arial" w:hAnsi="Arial"/>
          <w:sz w:val="17"/>
          <w:szCs w:val="17"/>
          <w:color w:val="auto"/>
        </w:rPr>
      </w:pPr>
    </w:p>
    <w:p>
      <w:pPr>
        <w:ind w:left="1720" w:hanging="922"/>
        <w:spacing w:after="0"/>
        <w:tabs>
          <w:tab w:leader="none" w:pos="1720"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162(m)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587"/>
        <w:spacing w:after="0" w:line="263" w:lineRule="auto"/>
        <w:tabs>
          <w:tab w:leader="none" w:pos="24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Committee may specify that the granting, vesting or payment of an Award will be conditioned upon the degree of attainment of one or more Performance Objectives. If the Award is intended to qualify for the Performance-Based Exception, then the Performance Objectives shall be based on specified levels of or growth in one or more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both"/>
        <w:spacing w:after="0" w:line="275" w:lineRule="auto"/>
        <w:rPr>
          <w:sz w:val="20"/>
          <w:szCs w:val="20"/>
          <w:color w:val="auto"/>
        </w:rPr>
      </w:pPr>
      <w:r>
        <w:rPr>
          <w:rFonts w:ascii="Arial" w:cs="Arial" w:eastAsia="Arial" w:hAnsi="Arial"/>
          <w:sz w:val="17"/>
          <w:szCs w:val="17"/>
          <w:color w:val="auto"/>
        </w:rPr>
        <w:t>criteria and the Performance Objectives with respect to other Awards shall be based on such criteria as determined by the Committee in its discretion, which may include (but shall not be limited to) the following criteria: earnings per share; segment profit; gross margin; operating or other expenses; earnings before interest and taxes (“</w:t>
      </w:r>
      <w:r>
        <w:rPr>
          <w:rFonts w:ascii="Arial" w:cs="Arial" w:eastAsia="Arial" w:hAnsi="Arial"/>
          <w:sz w:val="17"/>
          <w:szCs w:val="17"/>
          <w:u w:val="single" w:color="auto"/>
          <w:color w:val="auto"/>
        </w:rPr>
        <w:t>EBIT</w:t>
      </w:r>
      <w:r>
        <w:rPr>
          <w:rFonts w:ascii="Arial" w:cs="Arial" w:eastAsia="Arial" w:hAnsi="Arial"/>
          <w:sz w:val="17"/>
          <w:szCs w:val="17"/>
          <w:color w:val="auto"/>
        </w:rPr>
        <w:t>”), earnings before interest, taxes, depreciation and amortization; free cash flow; net income; return on investment (determined with reference to one or more categories of income or cash flow and one or more categories of assets, capital or equity); stock price appreciation; viewer ratings or impressions; online revenue; online segment profit; website traffic; market share; and revenue.</w:t>
      </w:r>
    </w:p>
    <w:p>
      <w:pPr>
        <w:spacing w:after="0" w:line="176" w:lineRule="exact"/>
        <w:rPr>
          <w:sz w:val="20"/>
          <w:szCs w:val="20"/>
          <w:color w:val="auto"/>
        </w:rPr>
      </w:pPr>
    </w:p>
    <w:p>
      <w:pPr>
        <w:jc w:val="both"/>
        <w:ind w:firstLine="1587"/>
        <w:spacing w:after="0" w:line="311" w:lineRule="auto"/>
        <w:tabs>
          <w:tab w:leader="none" w:pos="2437"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Performance Period for any Award that is intended to qualify for the Performance-Based Exception shall be specified in the Award Agreement. The Performance Objectives shall be established not later than ninety (90) days after the beginning of the Performance Period or, if earlier, by the date which is no later than the date that twenty five percent (25%) of the applicable Performance Period has elapsed.</w:t>
      </w:r>
    </w:p>
    <w:p>
      <w:pPr>
        <w:spacing w:after="0" w:line="148" w:lineRule="exact"/>
        <w:rPr>
          <w:rFonts w:ascii="Arial" w:cs="Arial" w:eastAsia="Arial" w:hAnsi="Arial"/>
          <w:sz w:val="16"/>
          <w:szCs w:val="16"/>
          <w:color w:val="auto"/>
        </w:rPr>
      </w:pPr>
    </w:p>
    <w:p>
      <w:pPr>
        <w:jc w:val="both"/>
        <w:ind w:firstLine="1587"/>
        <w:spacing w:after="0" w:line="255" w:lineRule="auto"/>
        <w:tabs>
          <w:tab w:leader="none" w:pos="2427"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Notwithstanding any other provision of the Plan, payment or vesting of any Award that is intended to qualify for the Performance-Based Exception shall not be made until the Committee certifies in writing that the applicable Performance Objectives and any other material terms of such Award were in fact satisfied in a manner conforming to applicable regulations under Section 162(m) of the Code. The Committee shall not have discretion to increase the amount of compensation that is payable upon achievement of the designated Performance Objectives for an Award intended to qualify for the Performance-Based Exception, but the Committee may reduce the amount of compensation that is payable upon achievement of the designated Performance Objectives.</w:t>
      </w:r>
    </w:p>
    <w:p>
      <w:pPr>
        <w:spacing w:after="0" w:line="188" w:lineRule="exact"/>
        <w:rPr>
          <w:rFonts w:ascii="Arial" w:cs="Arial" w:eastAsia="Arial" w:hAnsi="Arial"/>
          <w:sz w:val="18"/>
          <w:szCs w:val="18"/>
          <w:color w:val="auto"/>
        </w:rPr>
      </w:pPr>
    </w:p>
    <w:p>
      <w:pPr>
        <w:ind w:left="1720" w:hanging="922"/>
        <w:spacing w:after="0"/>
        <w:tabs>
          <w:tab w:leader="none" w:pos="17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587"/>
        <w:spacing w:after="0" w:line="272" w:lineRule="auto"/>
        <w:tabs>
          <w:tab w:leader="none" w:pos="2427" w:val="left"/>
        </w:tabs>
        <w:numPr>
          <w:ilvl w:val="1"/>
          <w:numId w:val="81"/>
        </w:numPr>
        <w:rPr>
          <w:rFonts w:ascii="Arial" w:cs="Arial" w:eastAsia="Arial" w:hAnsi="Arial"/>
          <w:sz w:val="17"/>
          <w:szCs w:val="17"/>
          <w:color w:val="auto"/>
        </w:rPr>
      </w:pPr>
      <w:r>
        <w:rPr>
          <w:rFonts w:ascii="Arial" w:cs="Arial" w:eastAsia="Arial" w:hAnsi="Arial"/>
          <w:sz w:val="17"/>
          <w:szCs w:val="17"/>
          <w:color w:val="auto"/>
        </w:rPr>
        <w:t>Except as otherwise determined by the Committee pursuant to the provisions of Section 17(c) of the Plan, no Award or Dividend Equivalents paid with respect to an Award made under the Plan shall be transferable by the Participant except by will or the laws of descent and distribution; provided, that if so determined by the Committee, each Participant may, in a manner established by the Board or the Committee, designate a beneficiary to exercise the rights of the Participant with respect to any Award upon the death of the Participant and to receive Shares or other property issued or delivered under such Award. Except as otherwise determined by the Committee, Stock Options and SARs will be exercisable during a Participant’s lifetime only by him or her or, in the event of the Participant’s legal incapacity to do so, by his or her guardian or legal representative acting on behalf of the Participant in a fiduciary capacity under state law and/or court supervision.</w:t>
      </w:r>
    </w:p>
    <w:p>
      <w:pPr>
        <w:spacing w:after="0" w:line="177" w:lineRule="exact"/>
        <w:rPr>
          <w:rFonts w:ascii="Arial" w:cs="Arial" w:eastAsia="Arial" w:hAnsi="Arial"/>
          <w:sz w:val="17"/>
          <w:szCs w:val="17"/>
          <w:color w:val="auto"/>
        </w:rPr>
      </w:pPr>
    </w:p>
    <w:p>
      <w:pPr>
        <w:jc w:val="both"/>
        <w:ind w:firstLine="1587"/>
        <w:spacing w:after="0" w:line="311" w:lineRule="auto"/>
        <w:tabs>
          <w:tab w:leader="none" w:pos="2437"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Committee may specify in an Award Agreement that part or all of the Shares that are to be issued or delivered by the Company upon the exercise of Stock Options or SARs, upon the termination of the Period of Restriction applicable to Restricted Shares or Restricted Share Units or upon payment under any grant of Performance Shares or Performance Units will be subject to further restrictions on transfer.</w:t>
      </w:r>
    </w:p>
    <w:p>
      <w:pPr>
        <w:spacing w:after="0" w:line="148" w:lineRule="exact"/>
        <w:rPr>
          <w:rFonts w:ascii="Arial" w:cs="Arial" w:eastAsia="Arial" w:hAnsi="Arial"/>
          <w:sz w:val="16"/>
          <w:szCs w:val="16"/>
          <w:color w:val="auto"/>
        </w:rPr>
      </w:pPr>
    </w:p>
    <w:p>
      <w:pPr>
        <w:jc w:val="both"/>
        <w:ind w:firstLine="1587"/>
        <w:spacing w:after="0" w:line="293" w:lineRule="auto"/>
        <w:tabs>
          <w:tab w:leader="none" w:pos="2427"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Section 17(a) of the Plan, the Committee may determine that Awards (other than Incentive Stock Options) may be transferable by a Participant, without payment of consideration therefor by the transferee, only to any one or more family members (as defined in the General Instructions to Form S-8 under the Securities Act of 1933, or any successor provision) of the Participant; provided, however, that (i) no such transfer shall be effective unless reasonable prior notice (as specified by the Committee and set forth in the Award Agreement) thereof is delivered to the Company and such transfer is thereafter effected in accordance with any terms and conditions that shall have been made applicable thereto by the Board or the Committee, and (ii) any such transferee shall be subject to the same terms and conditions hereunder as the Participant.</w:t>
      </w:r>
    </w:p>
    <w:p>
      <w:pPr>
        <w:spacing w:after="0" w:line="160" w:lineRule="exact"/>
        <w:rPr>
          <w:rFonts w:ascii="Arial" w:cs="Arial" w:eastAsia="Arial" w:hAnsi="Arial"/>
          <w:sz w:val="16"/>
          <w:szCs w:val="16"/>
          <w:color w:val="auto"/>
        </w:rPr>
      </w:pPr>
    </w:p>
    <w:p>
      <w:pPr>
        <w:ind w:left="1720" w:hanging="922"/>
        <w:spacing w:after="0"/>
        <w:tabs>
          <w:tab w:leader="none" w:pos="17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jc w:val="both"/>
        <w:ind w:firstLine="8"/>
        <w:spacing w:after="0" w:line="253" w:lineRule="auto"/>
        <w:tabs>
          <w:tab w:leader="none" w:pos="1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of any equity restructuring (within the meaning of Financial Accounting Standards Board Accounting Standards Codification Topic 718, Compensation – Stock Compensation), such as a stock dividend, stock split, spinoff, rights offering, or recapitalization through a large, nonrecurring cash dividend, the Committee shall cause there to be an equitable adjustment in the numbers of Shares specified in Section 3 of the Plan and, with respect to outstanding Awards, in the number and kind of Shares subject to outstanding Awards, the Exercise Price, Grant Price or other price of Shares subject to outstanding Awards, in each case to prevent dilution or enlargement of the rights of Participants. In the event of any other change in corporate capitalization, or in the event of a merger, consolidation, liquidation, or similar transaction, the Committee may, in its sole discretion, cause there to be an equitable adjustment as described in the foregoing sentence, to prevent dilution or enlargement of rights; provided, however, that, unless otherwise determined by the Committee, the number of Shares subject to any Award shall always be rounded down to a whole number. Notwithstanding the foregoing, the Committee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jc w:val="both"/>
        <w:spacing w:after="0" w:line="259" w:lineRule="auto"/>
        <w:rPr>
          <w:sz w:val="20"/>
          <w:szCs w:val="20"/>
          <w:color w:val="auto"/>
        </w:rPr>
      </w:pPr>
      <w:r>
        <w:rPr>
          <w:rFonts w:ascii="Arial" w:cs="Arial" w:eastAsia="Arial" w:hAnsi="Arial"/>
          <w:sz w:val="18"/>
          <w:szCs w:val="18"/>
          <w:color w:val="auto"/>
        </w:rPr>
        <w:t>not make any adjustment pursuant to this Section 18 that would (a) cause any Stock Option intended to qualify as an ISO to fail to so qualify; (b) cause an Award that is otherwise exempt from Section 409A of the Code to become subject to Section 409A, or (c) cause an Award that is subject to Section 409A of the Code to fail to satisfy the requirements of Section 409A. The determination of the Committee as to the foregoing adjustments, if any, shall be conclusive and binding on Participants under the Plan.</w:t>
      </w:r>
    </w:p>
    <w:p>
      <w:pPr>
        <w:spacing w:after="0" w:line="183" w:lineRule="exact"/>
        <w:rPr>
          <w:sz w:val="20"/>
          <w:szCs w:val="20"/>
          <w:color w:val="auto"/>
        </w:rPr>
      </w:pPr>
    </w:p>
    <w:p>
      <w:pPr>
        <w:ind w:left="1720" w:hanging="922"/>
        <w:spacing w:after="0"/>
        <w:tabs>
          <w:tab w:leader="none" w:pos="17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ind w:firstLine="8"/>
        <w:spacing w:after="0" w:line="277" w:lineRule="auto"/>
        <w:tabs>
          <w:tab w:leader="none" w:pos="1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not be required to issue or deliver any fractional Shares pursuant to the Plan and, unless otherwise provided by the Committee, fractional shares shall be settled in cash.</w:t>
      </w:r>
    </w:p>
    <w:p>
      <w:pPr>
        <w:spacing w:after="0" w:line="166" w:lineRule="exact"/>
        <w:rPr>
          <w:rFonts w:ascii="Arial" w:cs="Arial" w:eastAsia="Arial" w:hAnsi="Arial"/>
          <w:sz w:val="18"/>
          <w:szCs w:val="18"/>
          <w:color w:val="auto"/>
        </w:rPr>
      </w:pPr>
    </w:p>
    <w:p>
      <w:pPr>
        <w:ind w:left="1720" w:hanging="922"/>
        <w:spacing w:after="0"/>
        <w:tabs>
          <w:tab w:leader="none" w:pos="172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sz w:val="20"/>
          <w:szCs w:val="20"/>
          <w:color w:val="auto"/>
        </w:rPr>
      </w:pPr>
    </w:p>
    <w:p>
      <w:pPr>
        <w:jc w:val="both"/>
        <w:ind w:firstLine="8"/>
        <w:spacing w:after="0" w:line="270" w:lineRule="auto"/>
        <w:tabs>
          <w:tab w:leader="none" w:pos="139"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the extent required by Applicable Law, a Participant shall be required to satisfy, in a manner satisfactory to the Company or Subsidiary, as applicable, any withholding tax obligations that arise by reason of a Stock Option or SAR exercise, the vesting of or settlement of Shares under an Award, an election pursuant to Section 83(b) of the Code or otherwise with respect to an Award. The Company and its Subsidiaries shall not be required to issue or deliver Shares, make any payment or to recognize the transfer or disposition of Shares until such obligations are satisfied. The Committee may permit or require these obligations to be satisfied by having the Company withhold a portion of the Shares that otherwise would be issued or delivered to a Participant upon exercise of the Stock Option or SAR or upon the vesting or settlement of an Award, or by tendering Shares previously acquired, in each case having a Fair Market Value equal to the minimum amount required to be withheld or paid (or, if permitted by the Company, such higher amount that will not result in adverse accounting consequences for the Company or a Subsidiary). Any such elections are subject to such conditions or procedures as may be established by the Committee and may be subject to disapproval by the Committee.</w:t>
      </w:r>
    </w:p>
    <w:p>
      <w:pPr>
        <w:spacing w:after="0" w:line="176" w:lineRule="exact"/>
        <w:rPr>
          <w:rFonts w:ascii="Arial" w:cs="Arial" w:eastAsia="Arial" w:hAnsi="Arial"/>
          <w:sz w:val="17"/>
          <w:szCs w:val="17"/>
          <w:color w:val="auto"/>
        </w:rPr>
      </w:pPr>
    </w:p>
    <w:p>
      <w:pPr>
        <w:ind w:left="1720" w:hanging="922"/>
        <w:spacing w:after="0"/>
        <w:tabs>
          <w:tab w:leader="none" w:pos="1720"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Foreign Employees</w:t>
      </w:r>
    </w:p>
    <w:p>
      <w:pPr>
        <w:spacing w:after="0" w:line="229" w:lineRule="exact"/>
        <w:rPr>
          <w:sz w:val="20"/>
          <w:szCs w:val="20"/>
          <w:color w:val="auto"/>
        </w:rPr>
      </w:pPr>
    </w:p>
    <w:p>
      <w:pPr>
        <w:jc w:val="both"/>
        <w:ind w:firstLine="8"/>
        <w:spacing w:after="0" w:line="271" w:lineRule="auto"/>
        <w:tabs>
          <w:tab w:leader="none" w:pos="137"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174" w:lineRule="exact"/>
        <w:rPr>
          <w:rFonts w:ascii="Arial" w:cs="Arial" w:eastAsia="Arial" w:hAnsi="Arial"/>
          <w:sz w:val="17"/>
          <w:szCs w:val="17"/>
          <w:color w:val="auto"/>
        </w:rPr>
      </w:pPr>
    </w:p>
    <w:p>
      <w:pPr>
        <w:ind w:left="1720" w:hanging="922"/>
        <w:spacing w:after="0"/>
        <w:tabs>
          <w:tab w:leader="none" w:pos="172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1587"/>
        <w:spacing w:after="0" w:line="277" w:lineRule="auto"/>
        <w:tabs>
          <w:tab w:leader="none" w:pos="24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Except as otherwise provided in a Participant’s Award Agreement or pursuant to Section 22(b) of the Plan, upon the occurrence of a Change in Control, unless otherwise specifically prohibited under Applicable Laws:</w:t>
      </w:r>
    </w:p>
    <w:p>
      <w:pPr>
        <w:spacing w:after="0" w:line="170" w:lineRule="exact"/>
        <w:rPr>
          <w:rFonts w:ascii="Arial" w:cs="Arial" w:eastAsia="Arial" w:hAnsi="Arial"/>
          <w:sz w:val="18"/>
          <w:szCs w:val="18"/>
          <w:color w:val="auto"/>
        </w:rPr>
      </w:pPr>
    </w:p>
    <w:p>
      <w:pPr>
        <w:ind w:firstLine="2377"/>
        <w:spacing w:after="0" w:line="277" w:lineRule="auto"/>
        <w:tabs>
          <w:tab w:leader="none" w:pos="318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and all outstanding Stock Options and SARs granted hereunder shall become immediately vested and exercisable and shall remain exercisable for the full duration of their term;</w:t>
      </w:r>
    </w:p>
    <w:p>
      <w:pPr>
        <w:spacing w:after="0" w:line="170" w:lineRule="exact"/>
        <w:rPr>
          <w:rFonts w:ascii="Arial" w:cs="Arial" w:eastAsia="Arial" w:hAnsi="Arial"/>
          <w:sz w:val="18"/>
          <w:szCs w:val="18"/>
          <w:color w:val="auto"/>
        </w:rPr>
      </w:pPr>
    </w:p>
    <w:p>
      <w:pPr>
        <w:ind w:firstLine="2377"/>
        <w:spacing w:after="0" w:line="277" w:lineRule="auto"/>
        <w:tabs>
          <w:tab w:leader="none" w:pos="32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Period of Restriction or other restriction imposed on Restricted Shares, Restricted Share Units, and Other Stock-Based Awards shall immediately lapse; and</w:t>
      </w:r>
    </w:p>
    <w:p>
      <w:pPr>
        <w:spacing w:after="0" w:line="170" w:lineRule="exact"/>
        <w:rPr>
          <w:rFonts w:ascii="Arial" w:cs="Arial" w:eastAsia="Arial" w:hAnsi="Arial"/>
          <w:sz w:val="18"/>
          <w:szCs w:val="18"/>
          <w:color w:val="auto"/>
        </w:rPr>
      </w:pPr>
    </w:p>
    <w:p>
      <w:pPr>
        <w:ind w:left="3300" w:hanging="923"/>
        <w:spacing w:after="0"/>
        <w:tabs>
          <w:tab w:leader="none" w:pos="33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and  all  Performance  Shares,  Performance  Units  and  other  Awards  (if  performance-based)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immediately vest in full at the target level.</w:t>
      </w:r>
    </w:p>
    <w:p>
      <w:pPr>
        <w:spacing w:after="0" w:line="210" w:lineRule="exact"/>
        <w:rPr>
          <w:rFonts w:ascii="Arial" w:cs="Arial" w:eastAsia="Arial" w:hAnsi="Arial"/>
          <w:sz w:val="16"/>
          <w:szCs w:val="16"/>
          <w:color w:val="auto"/>
        </w:rPr>
      </w:pPr>
    </w:p>
    <w:p>
      <w:pPr>
        <w:jc w:val="both"/>
        <w:ind w:firstLine="1587"/>
        <w:spacing w:after="0" w:line="279" w:lineRule="auto"/>
        <w:tabs>
          <w:tab w:leader="none" w:pos="2437"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connection with a Change in Control, the Committee may, in its sole discretion, either by the terms of the Award Agreement applicable to any Award or by resolution adopted prior to the occurrence of the Change in Control, provide that any outstanding Award (or a portion thereof) shall, upon the occurrence of such Change in Control, be cancelled in exchange for a payment in cash in an amount based on the Fair Market Value of the Shares subject to the Award (less any Exercise Price or Grant Price), which amount may be zero (0)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left="1720" w:hanging="922"/>
        <w:spacing w:after="0"/>
        <w:tabs>
          <w:tab w:leader="none" w:pos="17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Detrimental Activity; Forfeiture and Recoupment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firstLine="1587"/>
        <w:spacing w:after="0" w:line="342" w:lineRule="auto"/>
        <w:tabs>
          <w:tab w:leader="none" w:pos="2427"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the Committee determines a Participant has engaged in any Detrimental Activity, either during service with the Company or a Subsidiary or after termination of such service, then, promptly upon receiving notice of the Committee’s determination, the Participant shall:</w:t>
      </w:r>
    </w:p>
    <w:p>
      <w:pPr>
        <w:spacing w:after="0" w:line="83" w:lineRule="exact"/>
        <w:rPr>
          <w:rFonts w:ascii="Arial" w:cs="Arial" w:eastAsia="Arial" w:hAnsi="Arial"/>
          <w:sz w:val="16"/>
          <w:szCs w:val="16"/>
          <w:color w:val="auto"/>
        </w:rPr>
      </w:pPr>
    </w:p>
    <w:p>
      <w:pPr>
        <w:ind w:left="3200" w:hanging="823"/>
        <w:spacing w:after="0"/>
        <w:tabs>
          <w:tab w:leader="none" w:pos="32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forfeit all Awards granted under the Plan to the extent then held by the Participant;</w:t>
      </w:r>
    </w:p>
    <w:p>
      <w:pPr>
        <w:spacing w:after="0" w:line="184" w:lineRule="exact"/>
        <w:rPr>
          <w:rFonts w:ascii="Arial" w:cs="Arial" w:eastAsia="Arial" w:hAnsi="Arial"/>
          <w:sz w:val="18"/>
          <w:szCs w:val="18"/>
          <w:color w:val="auto"/>
        </w:rPr>
      </w:pPr>
    </w:p>
    <w:p>
      <w:pPr>
        <w:jc w:val="both"/>
        <w:ind w:firstLine="2377"/>
        <w:spacing w:after="0" w:line="263" w:lineRule="auto"/>
        <w:tabs>
          <w:tab w:leader="none" w:pos="3237" w:val="left"/>
        </w:tabs>
        <w:numPr>
          <w:ilvl w:val="2"/>
          <w:numId w:val="90"/>
        </w:numPr>
        <w:rPr>
          <w:rFonts w:ascii="Arial" w:cs="Arial" w:eastAsia="Arial" w:hAnsi="Arial"/>
          <w:sz w:val="18"/>
          <w:szCs w:val="18"/>
          <w:color w:val="auto"/>
        </w:rPr>
      </w:pPr>
      <w:r>
        <w:rPr>
          <w:rFonts w:ascii="Arial" w:cs="Arial" w:eastAsia="Arial" w:hAnsi="Arial"/>
          <w:sz w:val="18"/>
          <w:szCs w:val="18"/>
          <w:color w:val="auto"/>
        </w:rPr>
        <w:t>return to the Company or the Subsidiary all Shares that the Participant has not disposed of that had been acquired within two (2) years prior to the date of the Participant’s initial commencement of the Detrimental Activity, in exchange for payment by the Company or the Subsidiary of any amount actually paid therefor by the Participant; and</w:t>
      </w:r>
    </w:p>
    <w:p>
      <w:pPr>
        <w:spacing w:after="0" w:line="156" w:lineRule="exact"/>
        <w:rPr>
          <w:rFonts w:ascii="Arial" w:cs="Arial" w:eastAsia="Arial" w:hAnsi="Arial"/>
          <w:sz w:val="18"/>
          <w:szCs w:val="18"/>
          <w:color w:val="auto"/>
        </w:rPr>
      </w:pPr>
    </w:p>
    <w:p>
      <w:pPr>
        <w:jc w:val="both"/>
        <w:ind w:firstLine="2377"/>
        <w:spacing w:after="0" w:line="259" w:lineRule="auto"/>
        <w:tabs>
          <w:tab w:leader="none" w:pos="3287" w:val="left"/>
        </w:tabs>
        <w:numPr>
          <w:ilvl w:val="2"/>
          <w:numId w:val="90"/>
        </w:numPr>
        <w:rPr>
          <w:rFonts w:ascii="Arial" w:cs="Arial" w:eastAsia="Arial" w:hAnsi="Arial"/>
          <w:sz w:val="18"/>
          <w:szCs w:val="18"/>
          <w:color w:val="auto"/>
        </w:rPr>
      </w:pPr>
      <w:r>
        <w:rPr>
          <w:rFonts w:ascii="Arial" w:cs="Arial" w:eastAsia="Arial" w:hAnsi="Arial"/>
          <w:sz w:val="18"/>
          <w:szCs w:val="18"/>
          <w:color w:val="auto"/>
        </w:rPr>
        <w:t>with respect to any Shares acquired within two (2) years prior to the date of the Participant’s initial commencement of the Detrimental Activity pursuant to Awards granted under the Plan that were disposed of, pay to the Company or the Subsidiary, in cash, the excess, if any, of: (A) the Fair Market Value of the Shares on the date acquired, over (B) any amount actually paid by the Participant for the Shares.</w:t>
      </w:r>
    </w:p>
    <w:p>
      <w:pPr>
        <w:spacing w:after="0" w:line="146" w:lineRule="exact"/>
        <w:rPr>
          <w:rFonts w:ascii="Arial" w:cs="Arial" w:eastAsia="Arial" w:hAnsi="Arial"/>
          <w:sz w:val="18"/>
          <w:szCs w:val="18"/>
          <w:color w:val="auto"/>
        </w:rPr>
      </w:pPr>
    </w:p>
    <w:p>
      <w:pPr>
        <w:jc w:val="both"/>
        <w:ind w:firstLine="1587"/>
        <w:spacing w:after="0" w:line="257" w:lineRule="auto"/>
        <w:tabs>
          <w:tab w:leader="none" w:pos="24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the extent that such amounts are not immediately returned or paid to the Company as provided herein, the Company may, to the extent permitted by law, seek other remedies, including a set-off of the amounts so payable to it against any amounts that may be owing from time to time by the Company or a Subsidiary to the Participant for any reason, including, without limitation, wages, or vacation pay or other benefits; provided, however, that, except to the extent permitted by Treasury Regulation Section 1.409A-3(j)(4), such set-off shall not apply to amounts that are “deferred compensation” within the meaning of Section 409A of the Code.</w:t>
      </w:r>
    </w:p>
    <w:p>
      <w:pPr>
        <w:spacing w:after="0" w:line="147" w:lineRule="exact"/>
        <w:rPr>
          <w:rFonts w:ascii="Arial" w:cs="Arial" w:eastAsia="Arial" w:hAnsi="Arial"/>
          <w:sz w:val="18"/>
          <w:szCs w:val="18"/>
          <w:color w:val="auto"/>
        </w:rPr>
      </w:pPr>
    </w:p>
    <w:p>
      <w:pPr>
        <w:jc w:val="both"/>
        <w:ind w:firstLine="1587"/>
        <w:spacing w:after="0" w:line="263" w:lineRule="auto"/>
        <w:tabs>
          <w:tab w:leader="none" w:pos="24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Award granted to a Participant shall be subject to forfeiture or repayment pursuant to the terms of any applicable compensation recovery policy adopted by the Company, including any such policy that may be adopted to comply with the Dodd-Frank Wall Street Reform and Consumer Protection Act or any rules or regulations issued by the SEC or applicable securities exchange.</w:t>
      </w:r>
    </w:p>
    <w:p>
      <w:pPr>
        <w:spacing w:after="0" w:line="152" w:lineRule="exact"/>
        <w:rPr>
          <w:rFonts w:ascii="Arial" w:cs="Arial" w:eastAsia="Arial" w:hAnsi="Arial"/>
          <w:sz w:val="18"/>
          <w:szCs w:val="18"/>
          <w:color w:val="auto"/>
        </w:rPr>
      </w:pPr>
    </w:p>
    <w:p>
      <w:pPr>
        <w:ind w:left="1720" w:hanging="922"/>
        <w:spacing w:after="0"/>
        <w:tabs>
          <w:tab w:leader="none" w:pos="17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and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jc w:val="both"/>
        <w:ind w:firstLine="1587"/>
        <w:spacing w:after="0" w:line="257" w:lineRule="auto"/>
        <w:tabs>
          <w:tab w:leader="none" w:pos="24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Board may at any time and from time to time, alter, amend, suspend or terminate the Plan in whole or in part; provided, however, that no alteration or amendment that requires shareholder approval in order for the Plan to continue to comply with the NASDAQ rules or any rule promulgated by the SEC or any other securities exchange on which Shares are listed or any other Applicable Laws shall be effective unless such amendment shall be approved by the requisite vote of shareholders of the Company entitled to vote thereon within the time period required under such applicable listing standard or rule.</w:t>
      </w:r>
    </w:p>
    <w:p>
      <w:pPr>
        <w:spacing w:after="0" w:line="160" w:lineRule="exact"/>
        <w:rPr>
          <w:rFonts w:ascii="Arial" w:cs="Arial" w:eastAsia="Arial" w:hAnsi="Arial"/>
          <w:sz w:val="18"/>
          <w:szCs w:val="18"/>
          <w:color w:val="auto"/>
        </w:rPr>
      </w:pPr>
    </w:p>
    <w:p>
      <w:pPr>
        <w:jc w:val="both"/>
        <w:ind w:firstLine="1587"/>
        <w:spacing w:after="0" w:line="289" w:lineRule="auto"/>
        <w:tabs>
          <w:tab w:leader="none" w:pos="243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Committee may in its sole discretion at any time (i) provide that all or a portion of a Participant’s Stock Options, SARs, and other Awards in the nature of rights that may be exercised become fully or partially exercisable; (ii) provide that all or a part of the Period of Restriction or other time-based vesting restrictions on all or a portion of the outstanding Awards shall lapse, and/or that any Performance Objectives or other performance-based criteria with respect to any Awards shall be deemed to be wholly or partially satisfied; or (iii) waive any other limitation or requirement under any such Award, in each case, as of such date as the Committee may, in its sole discretion, declare. Unless otherwise determined by the Committee, any such adjustment that is made with respect to an Award that is intended to qualify for the Performance-Based Exception shall be made at such times and in such manner as will not cause such Awards to fail to qualify under the Performance-Based Exception. Additionally, the Committee shall not make any adjustment pursuant to this Section 24(b) that would cause an Award that is otherwise exempt from Section 409A of the Code to become subject to Section 409A; or that would cause an Award that is subject to Section 409A of the Code to fail to satisfy the requirements of Section 409A.</w:t>
      </w:r>
    </w:p>
    <w:p>
      <w:pPr>
        <w:spacing w:after="0" w:line="125" w:lineRule="exact"/>
        <w:rPr>
          <w:rFonts w:ascii="Arial" w:cs="Arial" w:eastAsia="Arial" w:hAnsi="Arial"/>
          <w:sz w:val="16"/>
          <w:szCs w:val="16"/>
          <w:color w:val="auto"/>
        </w:rPr>
      </w:pPr>
    </w:p>
    <w:p>
      <w:pPr>
        <w:jc w:val="both"/>
        <w:ind w:firstLine="1587"/>
        <w:spacing w:after="0" w:line="273" w:lineRule="auto"/>
        <w:tabs>
          <w:tab w:leader="none" w:pos="2427"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for adjustments made pursuant to Section 18 of the Plan, the Board or the Committee will not, without the further approval of the shareholders of the Company, authorize the amendment of any outstanding Stock Option or SAR to reduce the Exercise Price or Grant Price, respectively. No Stock Option or SAR will be cancelled and replaced with awards having a lower Exercise Price or Grant Price, respectively, or for another Award, or for cash without further approval of the shareholders of the Company, except as provided in Section 18 of the Plan. Furthermore, no Stock Option or SAR will provide for the payment, at the time of exercise, of a cash bonus or grant or sale of another Award without further approval of the shareholders of the Company. This Section 24(c) is intended to prohibit the repricing of “underwater”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88</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Options or SARs without shareholder approval and will not be construed to prohibit the adjustments provided for in Section 18 of the Plan.</w:t>
      </w:r>
    </w:p>
    <w:p>
      <w:pPr>
        <w:spacing w:after="0" w:line="225" w:lineRule="exact"/>
        <w:rPr>
          <w:sz w:val="20"/>
          <w:szCs w:val="20"/>
          <w:color w:val="auto"/>
        </w:rPr>
      </w:pPr>
    </w:p>
    <w:p>
      <w:pPr>
        <w:jc w:val="both"/>
        <w:ind w:firstLine="1587"/>
        <w:spacing w:after="0" w:line="301" w:lineRule="auto"/>
        <w:tabs>
          <w:tab w:leader="none" w:pos="2437"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(other than Sections 18, 22(b) and 24(e) of the Plan), no termination, amendment, suspension, or modification of the Plan or an Award Agreement shall adversely affect in any material way any Award previously granted under the Plan, without the written consent of the Participant holding such Award. Notwithstanding the preceding sentence, any ISO granted under the Plan may be modified by the Committee to disqualify such Stock Option from treatment as an “incentive stock option” under Section 422 of the Code.</w:t>
      </w:r>
    </w:p>
    <w:p>
      <w:pPr>
        <w:spacing w:after="0" w:line="157" w:lineRule="exact"/>
        <w:rPr>
          <w:rFonts w:ascii="Arial" w:cs="Arial" w:eastAsia="Arial" w:hAnsi="Arial"/>
          <w:sz w:val="16"/>
          <w:szCs w:val="16"/>
          <w:color w:val="auto"/>
        </w:rPr>
      </w:pPr>
    </w:p>
    <w:p>
      <w:pPr>
        <w:jc w:val="both"/>
        <w:ind w:firstLine="1587"/>
        <w:spacing w:after="0" w:line="259" w:lineRule="auto"/>
        <w:tabs>
          <w:tab w:leader="none" w:pos="24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Notwithstanding any other provision of the Plan to the contrary, the Committee shall be authorized to make minor or administrative amendments to the Plan and may amend the Plan or an Award Agreement, to take effect retroactively or otherwise, as deemed necessary or advisable for the purpose of conforming the Plan or an Award Agreement to any present or future Applicable Law (including, but not limited to, Section 409A of the Code), and to the administrative regulations and rulings promulgated there under.</w:t>
      </w:r>
    </w:p>
    <w:p>
      <w:pPr>
        <w:spacing w:after="0" w:line="182" w:lineRule="exact"/>
        <w:rPr>
          <w:rFonts w:ascii="Arial" w:cs="Arial" w:eastAsia="Arial" w:hAnsi="Arial"/>
          <w:sz w:val="18"/>
          <w:szCs w:val="18"/>
          <w:color w:val="auto"/>
        </w:rPr>
      </w:pPr>
    </w:p>
    <w:p>
      <w:pPr>
        <w:ind w:left="1720" w:hanging="922"/>
        <w:spacing w:after="0"/>
        <w:tabs>
          <w:tab w:leader="none" w:pos="1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Laws</w:t>
      </w:r>
    </w:p>
    <w:p>
      <w:pPr>
        <w:spacing w:after="0" w:line="229" w:lineRule="exact"/>
        <w:rPr>
          <w:sz w:val="20"/>
          <w:szCs w:val="20"/>
          <w:color w:val="auto"/>
        </w:rPr>
      </w:pPr>
    </w:p>
    <w:p>
      <w:pPr>
        <w:jc w:val="both"/>
        <w:ind w:firstLine="8"/>
        <w:spacing w:after="0" w:line="255" w:lineRule="auto"/>
        <w:tabs>
          <w:tab w:leader="none" w:pos="1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obligations of the Company with respect to Awards under the Plan shall be subject to all Applicable Laws and such approvals by any governmental agencies as the Committee determines may be required. The Plan and each Award Agreement shall be governed by the laws of the State of Ohio, excluding any conflicts or choice of law rule or principle that might otherwise refer construction or interpretation of the Plan to the substantive law of another jurisdiction. Unless otherwise provided in the Award Agreement, Participants are deemed to submit to the exclusive jurisdiction and venue of the state courts of Hamilton County, Ohio and the federal courts in the Southern District of Ohio, to resolve any and all issues that may arise out of or relate to the Plan or any related Award Agreement.</w:t>
      </w:r>
    </w:p>
    <w:p>
      <w:pPr>
        <w:spacing w:after="0" w:line="188" w:lineRule="exact"/>
        <w:rPr>
          <w:rFonts w:ascii="Arial" w:cs="Arial" w:eastAsia="Arial" w:hAnsi="Arial"/>
          <w:sz w:val="18"/>
          <w:szCs w:val="18"/>
          <w:color w:val="auto"/>
        </w:rPr>
      </w:pPr>
    </w:p>
    <w:p>
      <w:pPr>
        <w:ind w:left="1720" w:hanging="922"/>
        <w:spacing w:after="0"/>
        <w:tabs>
          <w:tab w:leader="none" w:pos="172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Substitute Awards for Awards Granted by Other Entities</w:t>
      </w:r>
    </w:p>
    <w:p>
      <w:pPr>
        <w:spacing w:after="0" w:line="229" w:lineRule="exact"/>
        <w:rPr>
          <w:sz w:val="20"/>
          <w:szCs w:val="20"/>
          <w:color w:val="auto"/>
        </w:rPr>
      </w:pPr>
    </w:p>
    <w:p>
      <w:pPr>
        <w:jc w:val="both"/>
        <w:ind w:firstLine="8"/>
        <w:spacing w:after="0" w:line="255" w:lineRule="auto"/>
        <w:tabs>
          <w:tab w:leader="none" w:pos="1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Substitute Awards may be granted under the Plan for grants or awards held by employees of a company or entity who become Employees or Directors of the Company or a Subsidiary as a result of the acquisition, merger or consolidation of the employer company by or with the Company or a Subsidiary. Except as otherwise provided by Applicable Law and notwithstanding anything in the Plan to the contrary, the terms, provisions and benefits of the Substitute Awards so granted may vary from those set forth in or required or authorized by the Plan to such extent as the Committee at the time of the grant may deem appropriate to conform, in whole or part, to the terms, provisions and benefits of grants or awards in substitution for which they are granted.</w:t>
      </w:r>
    </w:p>
    <w:p>
      <w:pPr>
        <w:spacing w:after="0" w:line="188" w:lineRule="exact"/>
        <w:rPr>
          <w:sz w:val="20"/>
          <w:szCs w:val="20"/>
          <w:color w:val="auto"/>
        </w:rPr>
      </w:pPr>
    </w:p>
    <w:p>
      <w:pPr>
        <w:ind w:left="1720" w:hanging="922"/>
        <w:spacing w:after="0"/>
        <w:tabs>
          <w:tab w:leader="none" w:pos="1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587"/>
        <w:spacing w:after="0" w:line="255" w:lineRule="auto"/>
        <w:tabs>
          <w:tab w:leader="none" w:pos="2427"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with respect to Stock Options and SARs, the Committee may permit Participants to elect to defer the issuance or delivery of Shares or the settlement of Awards in cash under the Plan pursuant to such rules, procedures or programs as it may establish for purposes of the Plan. The Committee also may provide that deferred issuances and settlements include the payment or crediting of Dividend Equivalents or interest on the deferral amounts. All elections and deferrals permitted under this provision shall comply with Section 409A of the Code, including setting forth the time and manner of the election (including a compliant time and form of payment), the date on which the election is irrevocable, and whether the election can be changed until the date it is irrevocable.</w:t>
      </w:r>
    </w:p>
    <w:p>
      <w:pPr>
        <w:spacing w:after="0" w:line="192" w:lineRule="exact"/>
        <w:rPr>
          <w:rFonts w:ascii="Arial" w:cs="Arial" w:eastAsia="Arial" w:hAnsi="Arial"/>
          <w:sz w:val="18"/>
          <w:szCs w:val="18"/>
          <w:color w:val="auto"/>
        </w:rPr>
      </w:pPr>
    </w:p>
    <w:p>
      <w:pPr>
        <w:jc w:val="both"/>
        <w:ind w:firstLine="1587"/>
        <w:spacing w:after="0" w:line="259" w:lineRule="auto"/>
        <w:tabs>
          <w:tab w:leader="none" w:pos="24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Plan shall not confer upon any Participant any right with respect to continuance of employment or other service with the Company or any Subsidiary, nor shall it interfere in any way with any right the Company or any Subsidiary would otherwise have to terminate such Participant’s employment or other service at any time. No Employee or Director shall have the right to be selected to receive an Award under the Plan, or, having been so selected, to be selected to receive future Awards.</w:t>
      </w:r>
    </w:p>
    <w:p>
      <w:pPr>
        <w:spacing w:after="0" w:line="186" w:lineRule="exact"/>
        <w:rPr>
          <w:rFonts w:ascii="Arial" w:cs="Arial" w:eastAsia="Arial" w:hAnsi="Arial"/>
          <w:sz w:val="18"/>
          <w:szCs w:val="18"/>
          <w:color w:val="auto"/>
        </w:rPr>
      </w:pPr>
    </w:p>
    <w:p>
      <w:pPr>
        <w:jc w:val="both"/>
        <w:ind w:firstLine="1587"/>
        <w:spacing w:after="0" w:line="275" w:lineRule="auto"/>
        <w:tabs>
          <w:tab w:leader="none" w:pos="2427" w:val="left"/>
        </w:tabs>
        <w:numPr>
          <w:ilvl w:val="0"/>
          <w:numId w:val="98"/>
        </w:numPr>
        <w:rPr>
          <w:rFonts w:ascii="Arial" w:cs="Arial" w:eastAsia="Arial" w:hAnsi="Arial"/>
          <w:sz w:val="17"/>
          <w:szCs w:val="17"/>
          <w:color w:val="auto"/>
        </w:rPr>
      </w:pPr>
      <w:r>
        <w:rPr>
          <w:rFonts w:ascii="Arial" w:cs="Arial" w:eastAsia="Arial" w:hAnsi="Arial"/>
          <w:sz w:val="17"/>
          <w:szCs w:val="17"/>
          <w:color w:val="auto"/>
        </w:rPr>
        <w:t>Neither a Participant nor any other person shall, by reason of participation in the Plan, acquire any right or title to any assets, funds or property of the Company or any Subsidiary, including without limitation, any specific funds, assets or other property which the Company or any Subsidiary may set aside in anticipation of any liability under the Plan. A Participant shall have only a contractual right to an Award or the amounts, if any, 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76" w:lineRule="exact"/>
        <w:rPr>
          <w:rFonts w:ascii="Arial" w:cs="Arial" w:eastAsia="Arial" w:hAnsi="Arial"/>
          <w:sz w:val="17"/>
          <w:szCs w:val="17"/>
          <w:color w:val="auto"/>
        </w:rPr>
      </w:pPr>
    </w:p>
    <w:p>
      <w:pPr>
        <w:ind w:firstLine="1587"/>
        <w:spacing w:after="0" w:line="277" w:lineRule="auto"/>
        <w:tabs>
          <w:tab w:leader="none" w:pos="24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provision of the Plan is or becomes invalid, illegal or unenforceable in any jurisdiction, or would disqualify the Plan or any Award under any law deemed applicable by the Committee, such provision shall be construed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89</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deemed amended or limited in scope to conform to Applicable Laws or, in the discretion of the Committee, it shall be stricken and the remainder of the Plan shall remain in full force and effect.</w:t>
      </w:r>
    </w:p>
    <w:p>
      <w:pPr>
        <w:spacing w:after="0" w:line="170" w:lineRule="exact"/>
        <w:rPr>
          <w:sz w:val="20"/>
          <w:szCs w:val="20"/>
          <w:color w:val="auto"/>
        </w:rPr>
      </w:pPr>
    </w:p>
    <w:p>
      <w:pPr>
        <w:jc w:val="both"/>
        <w:ind w:firstLine="1587"/>
        <w:spacing w:after="0" w:line="311" w:lineRule="auto"/>
        <w:tabs>
          <w:tab w:leader="none" w:pos="24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By accepting any benefit under the Plan, each Participant and each person claiming under or through any such Participant shall be conclusively deemed to have indicated their acceptance and ratification of, and consent to, all of the terms and conditions of the Plan and any action taken under the Plan by the Committee, the Board or the Company, in any case in accordance with the terms and conditions of the Plan.</w:t>
      </w:r>
    </w:p>
    <w:p>
      <w:pPr>
        <w:spacing w:after="0" w:line="148" w:lineRule="exact"/>
        <w:rPr>
          <w:rFonts w:ascii="Arial" w:cs="Arial" w:eastAsia="Arial" w:hAnsi="Arial"/>
          <w:sz w:val="16"/>
          <w:szCs w:val="16"/>
          <w:color w:val="auto"/>
        </w:rPr>
      </w:pPr>
    </w:p>
    <w:p>
      <w:pPr>
        <w:jc w:val="both"/>
        <w:ind w:firstLine="1587"/>
        <w:spacing w:after="0" w:line="263" w:lineRule="auto"/>
        <w:tabs>
          <w:tab w:leader="none" w:pos="2407"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Participant or any eligible Employee or Director shall have any claim to be granted any Award under the Plan. No Participant shall have any rights as a shareholder with respect to any Shares subject to Awards granted to him or her under the Plan prior to the date as of which he or she is actually recorded as the holder of such Shares upon the stock records of the Company.</w:t>
      </w:r>
    </w:p>
    <w:p>
      <w:pPr>
        <w:spacing w:after="0" w:line="183" w:lineRule="exact"/>
        <w:rPr>
          <w:rFonts w:ascii="Arial" w:cs="Arial" w:eastAsia="Arial" w:hAnsi="Arial"/>
          <w:sz w:val="18"/>
          <w:szCs w:val="18"/>
          <w:color w:val="auto"/>
        </w:rPr>
      </w:pPr>
    </w:p>
    <w:p>
      <w:pPr>
        <w:ind w:right="20" w:firstLine="1587"/>
        <w:spacing w:after="0" w:line="308" w:lineRule="auto"/>
        <w:tabs>
          <w:tab w:leader="none" w:pos="2437"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payment under the Plan shall be taken into account in determining any benefits under any pension, retirement, savings, profit sharing, group insurance, welfare or benefit plan of the Company or any Subsidiary unless provided otherwise in such other plan.</w:t>
      </w:r>
    </w:p>
    <w:p>
      <w:pPr>
        <w:spacing w:after="0" w:line="146" w:lineRule="exact"/>
        <w:rPr>
          <w:rFonts w:ascii="Arial" w:cs="Arial" w:eastAsia="Arial" w:hAnsi="Arial"/>
          <w:sz w:val="17"/>
          <w:szCs w:val="17"/>
          <w:color w:val="auto"/>
        </w:rPr>
      </w:pPr>
    </w:p>
    <w:p>
      <w:pPr>
        <w:jc w:val="both"/>
        <w:ind w:firstLine="1587"/>
        <w:spacing w:after="0" w:line="259" w:lineRule="auto"/>
        <w:tabs>
          <w:tab w:leader="none" w:pos="24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with respect to Awards shall be binding on any successor to the Company, whether the existence of such successor is the result of a direct or indirect purchase, merger, consolidation, or other event, or a sale or disposition of all or substantially all of the business and/or assets of the Company and references to the “Company” herein and in any Award agreements shall be deemed to refer to such successors.</w:t>
      </w:r>
    </w:p>
    <w:p>
      <w:pPr>
        <w:spacing w:after="0" w:line="186"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90</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SUB-PLAN</w:t>
      </w:r>
    </w:p>
    <w:p>
      <w:pPr>
        <w:spacing w:after="0" w:line="234" w:lineRule="exact"/>
        <w:rPr>
          <w:sz w:val="20"/>
          <w:szCs w:val="20"/>
          <w:color w:val="auto"/>
        </w:rPr>
      </w:pPr>
    </w:p>
    <w:p>
      <w:pPr>
        <w:jc w:val="both"/>
        <w:ind w:firstLine="798"/>
        <w:spacing w:after="0" w:line="261" w:lineRule="auto"/>
        <w:tabs>
          <w:tab w:leader="none" w:pos="157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Purpose and Effective Date</w:t>
      </w:r>
      <w:r>
        <w:rPr>
          <w:rFonts w:ascii="Arial" w:cs="Arial" w:eastAsia="Arial" w:hAnsi="Arial"/>
          <w:sz w:val="18"/>
          <w:szCs w:val="18"/>
          <w:color w:val="auto"/>
        </w:rPr>
        <w:t>. The E.W. Scripps Company Employee Stock Purchase Sub-Plan (“</w:t>
      </w:r>
      <w:r>
        <w:rPr>
          <w:rFonts w:ascii="Arial" w:cs="Arial" w:eastAsia="Arial" w:hAnsi="Arial"/>
          <w:sz w:val="18"/>
          <w:szCs w:val="18"/>
          <w:u w:val="single" w:color="auto"/>
          <w:color w:val="auto"/>
        </w:rPr>
        <w:t>Sub-Plan</w:t>
      </w:r>
      <w:r>
        <w:rPr>
          <w:rFonts w:ascii="Arial" w:cs="Arial" w:eastAsia="Arial" w:hAnsi="Arial"/>
          <w:sz w:val="18"/>
          <w:szCs w:val="18"/>
          <w:color w:val="auto"/>
        </w:rPr>
        <w:t>”) is adopted and</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Company as a sub-plan under The E.W. Scripps Company 2010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shall at all times be subject to the terms and conditions of the Plan. The purpose of the Sub-Plan is to facilitate the purchase of Shares by Eligible Employees through Purchase Rights upon the terms, and subject to the conditions, set forth below and in the Plan.</w:t>
      </w:r>
    </w:p>
    <w:p>
      <w:pPr>
        <w:spacing w:after="0" w:line="179" w:lineRule="exact"/>
        <w:rPr>
          <w:rFonts w:ascii="Arial" w:cs="Arial" w:eastAsia="Arial" w:hAnsi="Arial"/>
          <w:sz w:val="18"/>
          <w:szCs w:val="18"/>
          <w:b w:val="1"/>
          <w:bCs w:val="1"/>
          <w:color w:val="auto"/>
        </w:rPr>
      </w:pPr>
    </w:p>
    <w:p>
      <w:pPr>
        <w:jc w:val="both"/>
        <w:ind w:firstLine="798"/>
        <w:spacing w:after="0" w:line="266" w:lineRule="auto"/>
        <w:tabs>
          <w:tab w:leader="none" w:pos="157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in the Sub-Plan but not defined herein shall have the same meanings as defined in the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those terms and the terms defined in Section 1 of the Sub-Plan, the following terms shall have the meanings hereinafter set forth, unless a different meaning is clearly required by the context:</w:t>
      </w:r>
    </w:p>
    <w:p>
      <w:pPr>
        <w:spacing w:after="0" w:line="180" w:lineRule="exact"/>
        <w:rPr>
          <w:sz w:val="20"/>
          <w:szCs w:val="20"/>
          <w:color w:val="auto"/>
        </w:rPr>
      </w:pPr>
    </w:p>
    <w:p>
      <w:pPr>
        <w:jc w:val="both"/>
        <w:ind w:firstLine="79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shall mean the individual account established by the Agent for each Sub-Plan Participant for purposes of accounting for and/or holding each Sub-Plan Participant’s Shares, dividends and distributions, and shall include any amounts credited to the Sub-Plan Participant’s Account under The E.W. Scripps Company Employee Stock Purchase Plan dated as of May 8, 2008, which previously expired pursuant to its terms.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w:t>
      </w:r>
    </w:p>
    <w:p>
      <w:pPr>
        <w:spacing w:after="0" w:line="225"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Vice President, Human Resource Operations or equivalent title of the Company, subject to the general control of, and superseding action by, the Committee.</w:t>
      </w:r>
    </w:p>
    <w:p>
      <w:pPr>
        <w:spacing w:after="0" w:line="170"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mean the bank, brokerage firm, financial institution, or other entity or person(s) engaged, retained or appointed to act as the agent of the Employer and of the Sub-Plan Participants.</w:t>
      </w:r>
    </w:p>
    <w:p>
      <w:pPr>
        <w:spacing w:after="0" w:line="170"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Value</w:t>
      </w:r>
      <w:r>
        <w:rPr>
          <w:rFonts w:ascii="Arial" w:cs="Arial" w:eastAsia="Arial" w:hAnsi="Arial"/>
          <w:sz w:val="18"/>
          <w:szCs w:val="18"/>
          <w:color w:val="auto"/>
        </w:rPr>
        <w:t xml:space="preserve">” shall mean, as of a particular date, the value of a Share determined by the closing sales price for such Share (or the closing bid, if no sales were reported) as quoted on the NASDAQ for the last market trading day prior to the date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4" w:lineRule="exact"/>
        <w:rPr>
          <w:sz w:val="20"/>
          <w:szCs w:val="20"/>
          <w:color w:val="auto"/>
        </w:rPr>
      </w:pPr>
    </w:p>
    <w:p>
      <w:pPr>
        <w:jc w:val="both"/>
        <w:ind w:firstLine="79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regular base salary or wages, shift differential, commissions (as paid) and draw actually received as of a particular pay date, including any amounts not paid to an Employee pursuant to an election under Code Sections 125 and 401(k). Compensation shall not include any deferred compensation, bonuses, overtime, severance or dismissal pay, cost-of-living allowances, or any extraordinary pay, or any compensation after an Employee’s last day of work except for purposes of Section 6(b) of the Sub-Plan.</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Subsidiaries</w:t>
      </w:r>
      <w:r>
        <w:rPr>
          <w:rFonts w:ascii="Arial" w:cs="Arial" w:eastAsia="Arial" w:hAnsi="Arial"/>
          <w:sz w:val="17"/>
          <w:szCs w:val="17"/>
          <w:color w:val="auto"/>
        </w:rPr>
        <w:t>” shall mean each Subsidiary, unless specifically excluded from participation in the Sub-Plan by the Board.</w:t>
      </w:r>
    </w:p>
    <w:p>
      <w:pPr>
        <w:spacing w:after="0" w:line="237" w:lineRule="exact"/>
        <w:rPr>
          <w:sz w:val="20"/>
          <w:szCs w:val="20"/>
          <w:color w:val="auto"/>
        </w:rPr>
      </w:pPr>
    </w:p>
    <w:p>
      <w:pPr>
        <w:jc w:val="both"/>
        <w:ind w:firstLine="79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Employee who (1) is regularly scheduled to work at least twenty (20) hours per week, (2) is customarily employed for at least five (5) months each calendar year, (3) is not a member of a collective bargaining unit unless the collective bargaining agreement covering such person specifically provides for eligibility to participate in this Sub-Plan, and (4) is not designated as ineligible to participate in the Sub-Plan by the Administrator.</w:t>
      </w:r>
    </w:p>
    <w:p>
      <w:pPr>
        <w:spacing w:after="0" w:line="187" w:lineRule="exact"/>
        <w:rPr>
          <w:sz w:val="20"/>
          <w:szCs w:val="20"/>
          <w:color w:val="auto"/>
        </w:rPr>
      </w:pPr>
    </w:p>
    <w:p>
      <w:pPr>
        <w:jc w:val="both"/>
        <w:ind w:right="20" w:firstLine="79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who performs services as a common law employee of the Employer, and does not include “leased employees”, as that term is defined under Section 414(n) of the Code, or other individuals providing services to the Employer in a capacity as an independent contractor.</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individually and collectively, the Company and the Designated Subsidiaries.</w:t>
      </w:r>
    </w:p>
    <w:p>
      <w:pPr>
        <w:spacing w:after="0" w:line="225"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Period</w:t>
      </w:r>
      <w:r>
        <w:rPr>
          <w:rFonts w:ascii="Arial" w:cs="Arial" w:eastAsia="Arial" w:hAnsi="Arial"/>
          <w:sz w:val="18"/>
          <w:szCs w:val="18"/>
          <w:color w:val="auto"/>
        </w:rPr>
        <w:t xml:space="preserve">” shall mean the one (1) month period ending on the 15th day of the calendar month preceding an Offering Period during which Eligible Employees may elect to participate in the Sub-Plan with respect to such Offering Period, </w:t>
      </w:r>
      <w:r>
        <w:rPr>
          <w:rFonts w:ascii="Arial" w:cs="Arial" w:eastAsia="Arial" w:hAnsi="Arial"/>
          <w:sz w:val="18"/>
          <w:szCs w:val="18"/>
          <w:i w:val="1"/>
          <w:iCs w:val="1"/>
          <w:color w:val="auto"/>
        </w:rPr>
        <w:t>i.e.,</w:t>
      </w:r>
      <w:r>
        <w:rPr>
          <w:rFonts w:ascii="Arial" w:cs="Arial" w:eastAsia="Arial" w:hAnsi="Arial"/>
          <w:sz w:val="18"/>
          <w:szCs w:val="18"/>
          <w:color w:val="auto"/>
        </w:rPr>
        <w:t xml:space="preserve"> for the first quarter of a year, the Enrollment Period would be November 15 through December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91</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shall mean the one (1) calendar quarter period during which Sub-Plan Participants authorize payroll deductions to fund the purchase of Shares on their behalf under the Sub-Plan. The first Offering Period shall commence on the date specified by the Committee in its sole discretion.</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shall mean the calendar year.</w:t>
      </w:r>
    </w:p>
    <w:p>
      <w:pPr>
        <w:spacing w:after="0" w:line="225" w:lineRule="exact"/>
        <w:rPr>
          <w:sz w:val="20"/>
          <w:szCs w:val="20"/>
          <w:color w:val="auto"/>
        </w:rPr>
      </w:pPr>
    </w:p>
    <w:p>
      <w:pPr>
        <w:jc w:val="both"/>
        <w:ind w:firstLine="79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shall mean, for each Share purchased in accordance with Section 4 of the Sub-Plan, an amount equal to the lesser of (1) ninety percent (90%) of the Closing Value of a Share on the first Trading Day of each Offering Period, or the earliest date thereafter as is administratively feasible (which for Sub-Plan purposes shall be deemed to be the date the Purchase Right was granted to each Eligible Employee who is, or elects to become, a Sub-Plan Participant); or (2) ninety percent (90%) of the Closing Value of such Share on the last Trading Day of the Offering Period, or the earliest date thereafter as is administratively feasible (which for Sub-Plan purposes shall be deemed to be the date each Purchase Right was exercised).</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Sub-Plan</w:t>
      </w:r>
      <w:r>
        <w:rPr>
          <w:rFonts w:ascii="Arial" w:cs="Arial" w:eastAsia="Arial" w:hAnsi="Arial"/>
          <w:sz w:val="18"/>
          <w:szCs w:val="18"/>
          <w:color w:val="auto"/>
        </w:rPr>
        <w:t>” shall have the meaning set forth in Section 1.</w:t>
      </w:r>
    </w:p>
    <w:p>
      <w:pPr>
        <w:spacing w:after="0" w:line="225"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Sub-Plan Participant</w:t>
      </w:r>
      <w:r>
        <w:rPr>
          <w:rFonts w:ascii="Arial" w:cs="Arial" w:eastAsia="Arial" w:hAnsi="Arial"/>
          <w:sz w:val="18"/>
          <w:szCs w:val="18"/>
          <w:color w:val="auto"/>
        </w:rPr>
        <w:t>” means any Eligible Employee who has elected to participate in the Sub-Plan for an Offering Period by authorizing payroll deductions and entering into a written subscription agreement with an Employer or the Administrator during the Enrollment Period for such Offering Period.</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national stock exchanges and the NASDAQ are open for trading.</w:t>
      </w:r>
    </w:p>
    <w:p>
      <w:pPr>
        <w:spacing w:after="0" w:line="221" w:lineRule="exact"/>
        <w:rPr>
          <w:sz w:val="20"/>
          <w:szCs w:val="20"/>
          <w:color w:val="auto"/>
        </w:rPr>
      </w:pPr>
    </w:p>
    <w:p>
      <w:pPr>
        <w:ind w:left="1580" w:hanging="782"/>
        <w:spacing w:after="0"/>
        <w:tabs>
          <w:tab w:leader="none" w:pos="15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Employees</w:t>
      </w:r>
    </w:p>
    <w:p>
      <w:pPr>
        <w:spacing w:after="0" w:line="229" w:lineRule="exact"/>
        <w:rPr>
          <w:rFonts w:ascii="Arial" w:cs="Arial" w:eastAsia="Arial" w:hAnsi="Arial"/>
          <w:sz w:val="18"/>
          <w:szCs w:val="18"/>
          <w:b w:val="1"/>
          <w:bCs w:val="1"/>
          <w:color w:val="auto"/>
        </w:rPr>
      </w:pPr>
    </w:p>
    <w:p>
      <w:pPr>
        <w:jc w:val="both"/>
        <w:ind w:firstLine="1587"/>
        <w:spacing w:after="0" w:line="259" w:lineRule="auto"/>
        <w:tabs>
          <w:tab w:leader="none" w:pos="2352" w:val="left"/>
        </w:tabs>
        <w:numPr>
          <w:ilvl w:val="1"/>
          <w:numId w:val="101"/>
        </w:numPr>
        <w:rPr>
          <w:rFonts w:ascii="Arial" w:cs="Arial" w:eastAsia="Arial" w:hAnsi="Arial"/>
          <w:sz w:val="18"/>
          <w:szCs w:val="18"/>
          <w:color w:val="010000"/>
        </w:rPr>
      </w:pPr>
      <w:r>
        <w:rPr>
          <w:rFonts w:ascii="Arial" w:cs="Arial" w:eastAsia="Arial" w:hAnsi="Arial"/>
          <w:sz w:val="18"/>
          <w:szCs w:val="18"/>
          <w:u w:val="single" w:color="auto"/>
          <w:color w:val="auto"/>
        </w:rPr>
        <w:t>In General</w:t>
      </w:r>
      <w:r>
        <w:rPr>
          <w:rFonts w:ascii="Arial" w:cs="Arial" w:eastAsia="Arial" w:hAnsi="Arial"/>
          <w:sz w:val="18"/>
          <w:szCs w:val="18"/>
          <w:color w:val="auto"/>
        </w:rPr>
        <w:t>. Participation in the Sub-Plan is voluntary. All Eligible Employees of an Employer are eligible to participate in the Sub-Plan as of a date specified by the Administrator or the Committee. Each Eligible Employee who is a Sub-Plan Participant shall have the same rights and privileges as every other Eligible Employee who is a Sub-Plan Participant, and only Eligible Employees of an Employer satisfying the applicable requirements of the Sub-Plan will be entitled to be a Sub-Plan Participant.</w:t>
      </w:r>
    </w:p>
    <w:p>
      <w:pPr>
        <w:spacing w:after="0" w:line="186" w:lineRule="exact"/>
        <w:rPr>
          <w:rFonts w:ascii="Arial" w:cs="Arial" w:eastAsia="Arial" w:hAnsi="Arial"/>
          <w:sz w:val="18"/>
          <w:szCs w:val="18"/>
          <w:color w:val="010000"/>
        </w:rPr>
      </w:pPr>
    </w:p>
    <w:p>
      <w:pPr>
        <w:jc w:val="both"/>
        <w:ind w:firstLine="1587"/>
        <w:spacing w:after="0" w:line="269" w:lineRule="auto"/>
        <w:tabs>
          <w:tab w:leader="none" w:pos="2362" w:val="left"/>
        </w:tabs>
        <w:numPr>
          <w:ilvl w:val="1"/>
          <w:numId w:val="101"/>
        </w:numPr>
        <w:rPr>
          <w:rFonts w:ascii="Arial" w:cs="Arial" w:eastAsia="Arial" w:hAnsi="Arial"/>
          <w:sz w:val="17"/>
          <w:szCs w:val="17"/>
          <w:color w:val="010000"/>
        </w:rPr>
      </w:pPr>
      <w:r>
        <w:rPr>
          <w:rFonts w:ascii="Arial" w:cs="Arial" w:eastAsia="Arial" w:hAnsi="Arial"/>
          <w:sz w:val="17"/>
          <w:szCs w:val="17"/>
          <w:u w:val="single" w:color="auto"/>
          <w:color w:val="auto"/>
        </w:rPr>
        <w:t>Limitations on Purchase Rights</w:t>
      </w:r>
      <w:r>
        <w:rPr>
          <w:rFonts w:ascii="Arial" w:cs="Arial" w:eastAsia="Arial" w:hAnsi="Arial"/>
          <w:sz w:val="17"/>
          <w:szCs w:val="17"/>
          <w:color w:val="auto"/>
        </w:rPr>
        <w:t>. An Employee who otherwise is an Eligible Employee shall not be entitled to purchase Shares under the Sub-Plan if (1) such purchase would cause such Eligible Employee to own Shares (including any Shares which would be owned if such Eligible Employee purchased all of the Shares made available for purchase by such Eligible Employee under all Purchase Rights then held by such Eligible Employee, whether or not then exercisable) representing five percent (5%) or more of the total combined voting power or value of each class of stock of the Company or any Subsidiary; or (2) such purchase would cause such Eligible Employee to have rights to purchase more than $25,000 of Shares under the Sub-Plan (and under all employee stock purchase plans of the Company and its Subsidiary corporations which qualify for treatment under Section 423 of the Code) for any calendar year in which Purchase Rights are outstanding (based on the Closing Value of such Shares, determined as of the date such rights are granted and can first be exercised hereunder). For purposes of clause (1) of this paragraph (b), the attribution rules set forth in Section 424(d) of the Code and related regulations shall apply. For purposes of applying the $25,000 limitation, the number of Shares covered by one Purchase Right may not be carried over to any other Purchase Right.</w:t>
      </w:r>
    </w:p>
    <w:p>
      <w:pPr>
        <w:spacing w:after="0" w:line="181" w:lineRule="exact"/>
        <w:rPr>
          <w:rFonts w:ascii="Arial" w:cs="Arial" w:eastAsia="Arial" w:hAnsi="Arial"/>
          <w:sz w:val="17"/>
          <w:szCs w:val="17"/>
          <w:color w:val="010000"/>
        </w:rPr>
      </w:pPr>
    </w:p>
    <w:p>
      <w:pPr>
        <w:ind w:left="1580" w:hanging="782"/>
        <w:spacing w:after="0"/>
        <w:tabs>
          <w:tab w:leader="none" w:pos="15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 and Offering Periods</w:t>
      </w:r>
    </w:p>
    <w:p>
      <w:pPr>
        <w:spacing w:after="0" w:line="229" w:lineRule="exact"/>
        <w:rPr>
          <w:rFonts w:ascii="Arial" w:cs="Arial" w:eastAsia="Arial" w:hAnsi="Arial"/>
          <w:sz w:val="18"/>
          <w:szCs w:val="18"/>
          <w:b w:val="1"/>
          <w:bCs w:val="1"/>
          <w:color w:val="auto"/>
        </w:rPr>
      </w:pPr>
    </w:p>
    <w:p>
      <w:pPr>
        <w:jc w:val="both"/>
        <w:ind w:firstLine="1587"/>
        <w:spacing w:after="0" w:line="263" w:lineRule="auto"/>
        <w:tabs>
          <w:tab w:leader="none" w:pos="2352" w:val="left"/>
        </w:tabs>
        <w:numPr>
          <w:ilvl w:val="1"/>
          <w:numId w:val="101"/>
        </w:numPr>
        <w:rPr>
          <w:rFonts w:ascii="Arial" w:cs="Arial" w:eastAsia="Arial" w:hAnsi="Arial"/>
          <w:sz w:val="18"/>
          <w:szCs w:val="18"/>
          <w:color w:val="010000"/>
        </w:rPr>
      </w:pPr>
      <w:r>
        <w:rPr>
          <w:rFonts w:ascii="Arial" w:cs="Arial" w:eastAsia="Arial" w:hAnsi="Arial"/>
          <w:sz w:val="18"/>
          <w:szCs w:val="18"/>
          <w:u w:val="single" w:color="auto"/>
          <w:color w:val="auto"/>
        </w:rPr>
        <w:t>Enrolling in the Sub-Plan</w:t>
      </w:r>
      <w:r>
        <w:rPr>
          <w:rFonts w:ascii="Arial" w:cs="Arial" w:eastAsia="Arial" w:hAnsi="Arial"/>
          <w:sz w:val="18"/>
          <w:szCs w:val="18"/>
          <w:color w:val="auto"/>
        </w:rPr>
        <w:t>. To participate in the Sub-Plan, an Eligible Employee must enroll in the Sub-Plan in accordance with procedures established by the Administrator. Enrollment for a given Offering Period will take place during the Enrollment Period for such Offering Period.</w:t>
      </w:r>
    </w:p>
    <w:p>
      <w:pPr>
        <w:spacing w:after="0" w:line="183" w:lineRule="exact"/>
        <w:rPr>
          <w:rFonts w:ascii="Arial" w:cs="Arial" w:eastAsia="Arial" w:hAnsi="Arial"/>
          <w:sz w:val="18"/>
          <w:szCs w:val="18"/>
          <w:color w:val="010000"/>
        </w:rPr>
      </w:pPr>
    </w:p>
    <w:p>
      <w:pPr>
        <w:jc w:val="both"/>
        <w:ind w:firstLine="1587"/>
        <w:spacing w:after="0" w:line="272" w:lineRule="auto"/>
        <w:tabs>
          <w:tab w:leader="none" w:pos="2362" w:val="left"/>
        </w:tabs>
        <w:numPr>
          <w:ilvl w:val="1"/>
          <w:numId w:val="101"/>
        </w:numPr>
        <w:rPr>
          <w:rFonts w:ascii="Arial" w:cs="Arial" w:eastAsia="Arial" w:hAnsi="Arial"/>
          <w:sz w:val="17"/>
          <w:szCs w:val="17"/>
          <w:color w:val="010000"/>
        </w:rPr>
      </w:pPr>
      <w:r>
        <w:rPr>
          <w:rFonts w:ascii="Arial" w:cs="Arial" w:eastAsia="Arial" w:hAnsi="Arial"/>
          <w:sz w:val="17"/>
          <w:szCs w:val="17"/>
          <w:u w:val="single" w:color="auto"/>
          <w:color w:val="auto"/>
        </w:rPr>
        <w:t>The Three-Month Offering Period</w:t>
      </w:r>
      <w:r>
        <w:rPr>
          <w:rFonts w:ascii="Arial" w:cs="Arial" w:eastAsia="Arial" w:hAnsi="Arial"/>
          <w:sz w:val="17"/>
          <w:szCs w:val="17"/>
          <w:color w:val="auto"/>
        </w:rPr>
        <w:t xml:space="preserve">. Any Employee who is an Eligible Employee and who desires to purchase Shares hereunder must file with the Administrator or Employer an authorization for payroll deduction and a subscription agreement during an Enrollment Period. Such authorization shall be effective for the Offering Period immediately following such Enrollment Period. Each Offering Period shall last for three (3) calendar months, commencing on the first day (or the First Trading Day) of the calendar quarter and ending on the last day (or the last Trading Day) of the calendar quarter. There shall be four (4) Offering Periods each Sub-Plan Year during the term of this Sub-Plan. On the first day (or the First Trading Day) of each Offering Period each Sub-Plan Participant shall be granted a Purchase Right under the Sub-Plan and such right shall last only for three (3) months, </w:t>
      </w:r>
      <w:r>
        <w:rPr>
          <w:rFonts w:ascii="Arial" w:cs="Arial" w:eastAsia="Arial" w:hAnsi="Arial"/>
          <w:sz w:val="17"/>
          <w:szCs w:val="17"/>
          <w:i w:val="1"/>
          <w:iCs w:val="1"/>
          <w:color w:val="auto"/>
        </w:rPr>
        <w:t>i.e.,</w:t>
      </w:r>
      <w:r>
        <w:rPr>
          <w:rFonts w:ascii="Arial" w:cs="Arial" w:eastAsia="Arial" w:hAnsi="Arial"/>
          <w:sz w:val="17"/>
          <w:szCs w:val="17"/>
          <w:color w:val="auto"/>
        </w:rPr>
        <w:t xml:space="preserve"> it shall expire at the end of the Offering Period for which it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8"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92</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jc w:val="both"/>
        <w:ind w:firstLine="1587"/>
        <w:spacing w:after="0" w:line="253" w:lineRule="auto"/>
        <w:tabs>
          <w:tab w:leader="none" w:pos="2352" w:val="left"/>
        </w:tabs>
        <w:numPr>
          <w:ilvl w:val="1"/>
          <w:numId w:val="102"/>
        </w:numPr>
        <w:rPr>
          <w:rFonts w:ascii="Arial" w:cs="Arial" w:eastAsia="Arial" w:hAnsi="Arial"/>
          <w:sz w:val="18"/>
          <w:szCs w:val="18"/>
          <w:color w:val="010000"/>
        </w:rPr>
      </w:pPr>
      <w:r>
        <w:rPr>
          <w:rFonts w:ascii="Arial" w:cs="Arial" w:eastAsia="Arial" w:hAnsi="Arial"/>
          <w:sz w:val="18"/>
          <w:szCs w:val="18"/>
          <w:u w:val="single" w:color="auto"/>
          <w:color w:val="auto"/>
        </w:rPr>
        <w:t>Changing Enrollment</w:t>
      </w:r>
      <w:r>
        <w:rPr>
          <w:rFonts w:ascii="Arial" w:cs="Arial" w:eastAsia="Arial" w:hAnsi="Arial"/>
          <w:sz w:val="18"/>
          <w:szCs w:val="18"/>
          <w:color w:val="auto"/>
        </w:rPr>
        <w:t>. The offering of Shares pursuant to the Sub-Plan shall occur only during an Offering Period and shall be made only to Sub-Plan Participants. Once enrolled, a Sub-Plan Participant shall continue to participate in the Sub-Plan for each succeeding Offering Period until he or she terminates his or her participation by revoking his or her payroll deduction authorization or ceases to be an Eligible Employee. Once a Sub-Plan Participant has elected to participate under the Sub-Plan, that Sub-Plan Participant’s payroll deduction authorization and subscription agreement shall apply to all subsequent Offering Periods unless and until the Sub-Plan Participant ceases to be an Eligible Employee, modifies or terminates said authorization and/or agreement or withdraws from the Sub-Plan. If a Sub-Plan Participant desires to change his or her rate of contribution, he or she may do so effective for the next Offering Period by filing a new authorization for payroll deduction and/or subscription agreement with the Administrator or Employer during the Enrollment Period immediately preceding such Offering Period, in accordance with rules and procedures established by the Administrator.</w:t>
      </w:r>
    </w:p>
    <w:p>
      <w:pPr>
        <w:spacing w:after="0" w:line="192" w:lineRule="exact"/>
        <w:rPr>
          <w:rFonts w:ascii="Arial" w:cs="Arial" w:eastAsia="Arial" w:hAnsi="Arial"/>
          <w:sz w:val="18"/>
          <w:szCs w:val="18"/>
          <w:color w:val="010000"/>
        </w:rPr>
      </w:pPr>
    </w:p>
    <w:p>
      <w:pPr>
        <w:jc w:val="both"/>
        <w:ind w:firstLine="798"/>
        <w:spacing w:after="0" w:line="281" w:lineRule="auto"/>
        <w:tabs>
          <w:tab w:leader="none" w:pos="1572"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Use of Funds</w:t>
      </w:r>
      <w:r>
        <w:rPr>
          <w:rFonts w:ascii="Arial" w:cs="Arial" w:eastAsia="Arial" w:hAnsi="Arial"/>
          <w:sz w:val="17"/>
          <w:szCs w:val="17"/>
          <w:color w:val="auto"/>
        </w:rPr>
        <w:t>. All payroll deductions received or held by an Employer under the Sub-Plan may be used by the Employer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purpose, and the Employer shall not be obligated to segregate such payroll deductions. Any amounts held by an Employer or other party holding amounts in connection with or as a result of payroll withholding made pursuant to the Sub-Plan and pending the purchase of Shares hereunder shall be considered a non-interest-bearing, unsecured indebtedness extended to the Employer or other party by the Sub-Plan Participants.</w:t>
      </w:r>
    </w:p>
    <w:p>
      <w:pPr>
        <w:spacing w:after="0" w:line="164" w:lineRule="exact"/>
        <w:rPr>
          <w:rFonts w:ascii="Arial" w:cs="Arial" w:eastAsia="Arial" w:hAnsi="Arial"/>
          <w:sz w:val="17"/>
          <w:szCs w:val="17"/>
          <w:b w:val="1"/>
          <w:bCs w:val="1"/>
          <w:color w:val="auto"/>
        </w:rPr>
      </w:pPr>
    </w:p>
    <w:p>
      <w:pPr>
        <w:ind w:left="1580" w:hanging="782"/>
        <w:spacing w:after="0"/>
        <w:tabs>
          <w:tab w:leader="none" w:pos="15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Amount of Contribution; Method of Payment</w:t>
      </w:r>
    </w:p>
    <w:p>
      <w:pPr>
        <w:spacing w:after="0" w:line="229" w:lineRule="exact"/>
        <w:rPr>
          <w:rFonts w:ascii="Arial" w:cs="Arial" w:eastAsia="Arial" w:hAnsi="Arial"/>
          <w:sz w:val="18"/>
          <w:szCs w:val="18"/>
          <w:b w:val="1"/>
          <w:bCs w:val="1"/>
          <w:color w:val="auto"/>
        </w:rPr>
      </w:pPr>
    </w:p>
    <w:p>
      <w:pPr>
        <w:jc w:val="both"/>
        <w:ind w:firstLine="1587"/>
        <w:spacing w:after="0" w:line="293" w:lineRule="auto"/>
        <w:tabs>
          <w:tab w:leader="none" w:pos="2352" w:val="left"/>
        </w:tabs>
        <w:numPr>
          <w:ilvl w:val="1"/>
          <w:numId w:val="103"/>
        </w:numPr>
        <w:rPr>
          <w:rFonts w:ascii="Arial" w:cs="Arial" w:eastAsia="Arial" w:hAnsi="Arial"/>
          <w:sz w:val="16"/>
          <w:szCs w:val="16"/>
          <w:color w:val="010000"/>
        </w:rPr>
      </w:pPr>
      <w:r>
        <w:rPr>
          <w:rFonts w:ascii="Arial" w:cs="Arial" w:eastAsia="Arial" w:hAnsi="Arial"/>
          <w:sz w:val="16"/>
          <w:szCs w:val="16"/>
          <w:u w:val="single" w:color="auto"/>
          <w:color w:val="auto"/>
        </w:rPr>
        <w:t>Payroll Withholding</w:t>
      </w:r>
      <w:r>
        <w:rPr>
          <w:rFonts w:ascii="Arial" w:cs="Arial" w:eastAsia="Arial" w:hAnsi="Arial"/>
          <w:sz w:val="16"/>
          <w:szCs w:val="16"/>
          <w:color w:val="auto"/>
        </w:rPr>
        <w:t>. Except as otherwise specifically provided herein, the Purchase Price will be payable by each Sub-Plan Participant by means of payroll withholding. The withholding shall be in increments of one percent (1%). The minimum withholding permitted shall be an amount equal to one percent (1%) of a Sub-Plan Participant’s Compensation and the maximum withholding shall be an amount equal to ten percent (10%) of a Sub-Plan Participant’s Compensation. In any event, the total withholding permitted to be made by any Sub-Plan Participant for a Plan Year shall be limited to the sum of $22,500. The actual percentage of Compensation to be deducted shall be specified by a Sub-Plan Participant in his or her authorization for payroll withholding. Sub-Plan Participants may not deposit any separate cash payments into their Accounts.</w:t>
      </w:r>
    </w:p>
    <w:p>
      <w:pPr>
        <w:spacing w:after="0" w:line="164" w:lineRule="exact"/>
        <w:rPr>
          <w:rFonts w:ascii="Arial" w:cs="Arial" w:eastAsia="Arial" w:hAnsi="Arial"/>
          <w:sz w:val="16"/>
          <w:szCs w:val="16"/>
          <w:color w:val="010000"/>
        </w:rPr>
      </w:pPr>
    </w:p>
    <w:p>
      <w:pPr>
        <w:jc w:val="both"/>
        <w:ind w:firstLine="1587"/>
        <w:spacing w:after="0" w:line="272" w:lineRule="auto"/>
        <w:tabs>
          <w:tab w:leader="none" w:pos="2362" w:val="left"/>
        </w:tabs>
        <w:numPr>
          <w:ilvl w:val="1"/>
          <w:numId w:val="103"/>
        </w:numPr>
        <w:rPr>
          <w:rFonts w:ascii="Arial" w:cs="Arial" w:eastAsia="Arial" w:hAnsi="Arial"/>
          <w:sz w:val="17"/>
          <w:szCs w:val="17"/>
          <w:color w:val="010000"/>
        </w:rPr>
      </w:pPr>
      <w:r>
        <w:rPr>
          <w:rFonts w:ascii="Arial" w:cs="Arial" w:eastAsia="Arial" w:hAnsi="Arial"/>
          <w:sz w:val="17"/>
          <w:szCs w:val="17"/>
          <w:u w:val="single" w:color="auto"/>
          <w:color w:val="auto"/>
        </w:rPr>
        <w:t>Application of Withholding Rules</w:t>
      </w:r>
      <w:r>
        <w:rPr>
          <w:rFonts w:ascii="Arial" w:cs="Arial" w:eastAsia="Arial" w:hAnsi="Arial"/>
          <w:sz w:val="17"/>
          <w:szCs w:val="17"/>
          <w:color w:val="auto"/>
        </w:rPr>
        <w:t>. Payroll withholding will commence with the first paycheck issued during the Offering Period and will continue with each paycheck throughout the entire Offering Period, except for pay periods for which such Sub-Plan Participant receives no compensation (</w:t>
      </w:r>
      <w:r>
        <w:rPr>
          <w:rFonts w:ascii="Arial" w:cs="Arial" w:eastAsia="Arial" w:hAnsi="Arial"/>
          <w:sz w:val="17"/>
          <w:szCs w:val="17"/>
          <w:i w:val="1"/>
          <w:iCs w:val="1"/>
          <w:color w:val="auto"/>
        </w:rPr>
        <w:t>e.g.,</w:t>
      </w:r>
      <w:r>
        <w:rPr>
          <w:rFonts w:ascii="Arial" w:cs="Arial" w:eastAsia="Arial" w:hAnsi="Arial"/>
          <w:sz w:val="17"/>
          <w:szCs w:val="17"/>
          <w:color w:val="auto"/>
        </w:rPr>
        <w:t xml:space="preserve"> uncompensated personal leave, leave of absence, etc.). A pay period which overlaps Offering Periods will be credited in its entirety to the Offering Period in which it is paid. Payroll withholding shall be retained by the Employer or other party responsible for making such payment to the Sub-Plan Participant, until applied to the purchase of Shares as described in Section 7 of the Sub-Plan and the satisfaction of any related federal, state or local withholding obligations (including any employment tax obligations), or until returned to such Sub-Plan Participant in connection with a withdrawal from the Sub-Plan or a revocation of authorization described in Section 11 of the Sub-Plan.</w:t>
      </w:r>
    </w:p>
    <w:p>
      <w:pPr>
        <w:spacing w:after="0" w:line="177" w:lineRule="exact"/>
        <w:rPr>
          <w:sz w:val="20"/>
          <w:szCs w:val="20"/>
          <w:color w:val="auto"/>
        </w:rPr>
      </w:pPr>
    </w:p>
    <w:p>
      <w:pPr>
        <w:jc w:val="both"/>
        <w:ind w:firstLine="1579"/>
        <w:spacing w:after="0" w:line="288" w:lineRule="auto"/>
        <w:rPr>
          <w:sz w:val="20"/>
          <w:szCs w:val="20"/>
          <w:color w:val="auto"/>
        </w:rPr>
      </w:pPr>
      <w:r>
        <w:rPr>
          <w:rFonts w:ascii="Arial" w:cs="Arial" w:eastAsia="Arial" w:hAnsi="Arial"/>
          <w:sz w:val="16"/>
          <w:szCs w:val="16"/>
          <w:color w:val="auto"/>
        </w:rPr>
        <w:t>At the time the Shares are purchased, or at the time some or all of the Shares issued under the Sub-Plan are disposed of, Sub-Plan Participants must make adequate provision for the Employer’s federal, state, local or other tax withholding obligations (including employment taxes), if any, which arise upon the purchase or disposition of the Shares. At any time, the Employer may, but shall not be obligated to, withhold from each Sub-Plan Participant’s Compensation the amount necessary for the Employer to meet applicable withholding obligations, including any withholding required to make available to the Employer any tax deductions or benefits attributable to the sale or early disposition of Shares by the Sub-Plan Participant. Each Sub-Plan Participant, as a condition of participating under the Sub-Plan, shall agree to bear responsibility for all federal, state, and local income taxes required to be withheld from his or her Compensation as well as the Sub-Plan Participant’s portion of FICA (both the OASDI and Medicare components) with respect to any Compensation arising on account of the purchase or disposition of Shares. The Employer may increase income and/or employment tax withholding on a Sub-Plan Participant’s Compensation after the purchase or disposition of Shares in order to comply with federal, state and local tax laws, and each Sub-Plan Participant shall agree to sign any and all appropriate documents to facilitate such withholding.</w:t>
      </w:r>
    </w:p>
    <w:p>
      <w:pPr>
        <w:spacing w:after="0" w:line="164" w:lineRule="exact"/>
        <w:rPr>
          <w:sz w:val="20"/>
          <w:szCs w:val="20"/>
          <w:color w:val="auto"/>
        </w:rPr>
      </w:pPr>
    </w:p>
    <w:p>
      <w:pPr>
        <w:ind w:left="1580" w:hanging="782"/>
        <w:spacing w:after="0"/>
        <w:tabs>
          <w:tab w:leader="none" w:pos="1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Purchasing, Transferring Shares</w:t>
      </w:r>
    </w:p>
    <w:p>
      <w:pPr>
        <w:spacing w:after="0" w:line="229" w:lineRule="exact"/>
        <w:rPr>
          <w:rFonts w:ascii="Arial" w:cs="Arial" w:eastAsia="Arial" w:hAnsi="Arial"/>
          <w:sz w:val="18"/>
          <w:szCs w:val="18"/>
          <w:b w:val="1"/>
          <w:bCs w:val="1"/>
          <w:color w:val="auto"/>
        </w:rPr>
      </w:pPr>
    </w:p>
    <w:p>
      <w:pPr>
        <w:jc w:val="both"/>
        <w:ind w:firstLine="1579"/>
        <w:spacing w:after="0" w:line="259" w:lineRule="auto"/>
        <w:rPr>
          <w:rFonts w:ascii="Arial" w:cs="Arial" w:eastAsia="Arial" w:hAnsi="Arial"/>
          <w:sz w:val="18"/>
          <w:szCs w:val="18"/>
          <w:b w:val="1"/>
          <w:bCs w:val="1"/>
          <w:color w:val="auto"/>
        </w:rPr>
      </w:pPr>
      <w:r>
        <w:rPr>
          <w:rFonts w:ascii="Arial" w:cs="Arial" w:eastAsia="Arial" w:hAnsi="Arial"/>
          <w:sz w:val="18"/>
          <w:szCs w:val="18"/>
          <w:color w:val="010000"/>
        </w:rPr>
        <w:t xml:space="preserve">a. </w:t>
      </w:r>
      <w:r>
        <w:rPr>
          <w:rFonts w:ascii="Arial" w:cs="Arial" w:eastAsia="Arial" w:hAnsi="Arial"/>
          <w:sz w:val="18"/>
          <w:szCs w:val="18"/>
          <w:u w:val="single" w:color="auto"/>
          <w:color w:val="000000"/>
        </w:rPr>
        <w:t>Maintenance of Account</w:t>
      </w:r>
      <w:r>
        <w:rPr>
          <w:rFonts w:ascii="Arial" w:cs="Arial" w:eastAsia="Arial" w:hAnsi="Arial"/>
          <w:sz w:val="18"/>
          <w:szCs w:val="18"/>
          <w:color w:val="000000"/>
        </w:rPr>
        <w:t>. Upon enrollment in the Sub-Plan by a Sub-Plan Participant and upon receipt by the Agent of</w:t>
      </w:r>
      <w:r>
        <w:rPr>
          <w:rFonts w:ascii="Arial" w:cs="Arial" w:eastAsia="Arial" w:hAnsi="Arial"/>
          <w:sz w:val="18"/>
          <w:szCs w:val="18"/>
          <w:color w:val="010000"/>
        </w:rPr>
        <w:t xml:space="preserve"> </w:t>
      </w:r>
      <w:r>
        <w:rPr>
          <w:rFonts w:ascii="Arial" w:cs="Arial" w:eastAsia="Arial" w:hAnsi="Arial"/>
          <w:sz w:val="18"/>
          <w:szCs w:val="18"/>
          <w:color w:val="000000"/>
        </w:rPr>
        <w:t>such data as it requires, the Agent shall establish a Sub-Plan Account in the name of such Sub-Plan Participant. At the close of each Offering Period, the aggregate amount deducted during such Offering Period by the Employer from a Sub-Plan Participant’s Compensation (and credited to a non-interest-bearing account maintained by the Employer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93</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jc w:val="both"/>
        <w:spacing w:after="0" w:line="270" w:lineRule="auto"/>
        <w:rPr>
          <w:sz w:val="20"/>
          <w:szCs w:val="20"/>
          <w:color w:val="auto"/>
        </w:rPr>
      </w:pPr>
      <w:r>
        <w:rPr>
          <w:rFonts w:ascii="Arial" w:cs="Arial" w:eastAsia="Arial" w:hAnsi="Arial"/>
          <w:sz w:val="17"/>
          <w:szCs w:val="17"/>
          <w:color w:val="auto"/>
        </w:rPr>
        <w:t>other party for bookkeeping purposes) will be communicated by the Employer to the Agent and shall thereupon be credited by the Agent to such Sub-Plan Participant’s Account (unless the Sub-Plan Participant has given written notice to the Administrator of his or her withdrawal or revocation of authorization, prior to the date such communication is made). As of the last day of each Offering Period, or as soon thereafter as is administratively feasible, the Agent will automatically purchase Shares on behalf of each Sub-Plan Participant with respect to those amounts reported to the Agent by the Administrator or Employer as creditable to that Sub-Plan Participant’s Account. On the date of purchase of such Shares, the amount then credited to the Sub-Plan Participant’s Account for the purpose of purchasing Shares hereunder will be divided by the Purchase Price and there shall be transferred to the Sub-Plan Participant’s Account by the Agent the number of whole Shares which results (with any remaining cash amounts returned to the Sub-Plan Participant as soon as administratively feasible, as no fractional Shares shall be purchased under the Sub-Plan). Any Shares purchased under this Sub-Plan shall be funded by, and shall reduce, the Share reserve of Section 3(a) of the Plan.</w:t>
      </w:r>
    </w:p>
    <w:p>
      <w:pPr>
        <w:spacing w:after="0" w:line="181" w:lineRule="exact"/>
        <w:rPr>
          <w:sz w:val="20"/>
          <w:szCs w:val="20"/>
          <w:color w:val="auto"/>
        </w:rPr>
      </w:pPr>
    </w:p>
    <w:p>
      <w:pPr>
        <w:jc w:val="both"/>
        <w:ind w:firstLine="1587"/>
        <w:spacing w:after="0" w:line="273" w:lineRule="auto"/>
        <w:tabs>
          <w:tab w:leader="none" w:pos="2362" w:val="left"/>
        </w:tabs>
        <w:numPr>
          <w:ilvl w:val="1"/>
          <w:numId w:val="105"/>
        </w:numPr>
        <w:rPr>
          <w:rFonts w:ascii="Arial" w:cs="Arial" w:eastAsia="Arial" w:hAnsi="Arial"/>
          <w:sz w:val="17"/>
          <w:szCs w:val="17"/>
          <w:color w:val="010000"/>
        </w:rPr>
      </w:pPr>
      <w:r>
        <w:rPr>
          <w:rFonts w:ascii="Arial" w:cs="Arial" w:eastAsia="Arial" w:hAnsi="Arial"/>
          <w:sz w:val="17"/>
          <w:szCs w:val="17"/>
          <w:u w:val="single" w:color="auto"/>
          <w:color w:val="auto"/>
        </w:rPr>
        <w:t>Insufficient Number of Available Shares</w:t>
      </w:r>
      <w:r>
        <w:rPr>
          <w:rFonts w:ascii="Arial" w:cs="Arial" w:eastAsia="Arial" w:hAnsi="Arial"/>
          <w:sz w:val="17"/>
          <w:szCs w:val="17"/>
          <w:color w:val="auto"/>
        </w:rPr>
        <w:t>. In the event the number of Shares to be purchased by Sub-Plan Participants during any Offering Period exceeds the number of Shares available for sale under the Sub-Plan, the number of Shares actually available for sale hereunder shall be limited to the remaining number of Shares authorized for sale under the Sub-Plan and shall be allocated in accordance with the Company’s instructions by the Agent among the Sub-Plan Participants in proportion to each Sub-Plan Participant’s Compensation during the Offering Period over the total Compensation of all Sub-Plan Participants during the Offering Period. Any excess amounts withheld and credited to Sub-Plan Participants’ Accounts then shall be returned to the Sub-Plan Participants as soon as is administratively feasible.</w:t>
      </w:r>
    </w:p>
    <w:p>
      <w:pPr>
        <w:spacing w:after="0" w:line="177" w:lineRule="exact"/>
        <w:rPr>
          <w:rFonts w:ascii="Arial" w:cs="Arial" w:eastAsia="Arial" w:hAnsi="Arial"/>
          <w:sz w:val="17"/>
          <w:szCs w:val="17"/>
          <w:color w:val="010000"/>
        </w:rPr>
      </w:pPr>
    </w:p>
    <w:p>
      <w:pPr>
        <w:jc w:val="both"/>
        <w:ind w:firstLine="1587"/>
        <w:spacing w:after="0" w:line="311" w:lineRule="auto"/>
        <w:tabs>
          <w:tab w:leader="none" w:pos="2352" w:val="left"/>
        </w:tabs>
        <w:numPr>
          <w:ilvl w:val="1"/>
          <w:numId w:val="105"/>
        </w:numPr>
        <w:rPr>
          <w:rFonts w:ascii="Arial" w:cs="Arial" w:eastAsia="Arial" w:hAnsi="Arial"/>
          <w:sz w:val="16"/>
          <w:szCs w:val="16"/>
          <w:color w:val="010000"/>
        </w:rPr>
      </w:pPr>
      <w:r>
        <w:rPr>
          <w:rFonts w:ascii="Arial" w:cs="Arial" w:eastAsia="Arial" w:hAnsi="Arial"/>
          <w:sz w:val="16"/>
          <w:szCs w:val="16"/>
          <w:u w:val="single" w:color="auto"/>
          <w:color w:val="auto"/>
        </w:rPr>
        <w:t>Handling Excess Shares</w:t>
      </w:r>
      <w:r>
        <w:rPr>
          <w:rFonts w:ascii="Arial" w:cs="Arial" w:eastAsia="Arial" w:hAnsi="Arial"/>
          <w:sz w:val="16"/>
          <w:szCs w:val="16"/>
          <w:color w:val="auto"/>
        </w:rPr>
        <w:t>. In the event that the number of Shares which would be credited to any Sub-Plan Participant’s Account in any Offering Period exceeds the limit specified in Section 3(b) of the Sub-Plan, such Sub-Plan Participant’s Account shall be credited with the maximum number of Shares permissible, and the remaining amounts will be refunded in cash as soon as administratively practicable.</w:t>
      </w:r>
    </w:p>
    <w:p>
      <w:pPr>
        <w:spacing w:after="0" w:line="148" w:lineRule="exact"/>
        <w:rPr>
          <w:rFonts w:ascii="Arial" w:cs="Arial" w:eastAsia="Arial" w:hAnsi="Arial"/>
          <w:sz w:val="16"/>
          <w:szCs w:val="16"/>
          <w:color w:val="010000"/>
        </w:rPr>
      </w:pPr>
    </w:p>
    <w:p>
      <w:pPr>
        <w:jc w:val="both"/>
        <w:ind w:firstLine="1587"/>
        <w:spacing w:after="0" w:line="257" w:lineRule="auto"/>
        <w:tabs>
          <w:tab w:leader="none" w:pos="2362" w:val="left"/>
        </w:tabs>
        <w:numPr>
          <w:ilvl w:val="1"/>
          <w:numId w:val="105"/>
        </w:numPr>
        <w:rPr>
          <w:rFonts w:ascii="Arial" w:cs="Arial" w:eastAsia="Arial" w:hAnsi="Arial"/>
          <w:sz w:val="18"/>
          <w:szCs w:val="18"/>
          <w:color w:val="010000"/>
        </w:rPr>
      </w:pPr>
      <w:r>
        <w:rPr>
          <w:rFonts w:ascii="Arial" w:cs="Arial" w:eastAsia="Arial" w:hAnsi="Arial"/>
          <w:sz w:val="18"/>
          <w:szCs w:val="18"/>
          <w:u w:val="single" w:color="auto"/>
          <w:color w:val="auto"/>
        </w:rPr>
        <w:t>Status Reports</w:t>
      </w:r>
      <w:r>
        <w:rPr>
          <w:rFonts w:ascii="Arial" w:cs="Arial" w:eastAsia="Arial" w:hAnsi="Arial"/>
          <w:sz w:val="18"/>
          <w:szCs w:val="18"/>
          <w:color w:val="auto"/>
        </w:rPr>
        <w:t>. Statements of each Sub-Plan Participant’s Account shall be given to participating Employees at least quarterly. The statements shall set forth the Purchase Price and the number of Shares purchased. The Agent shall hold in its name, or in the name of its nominee, all Shares so purchased and allocated. No certificate will be issued to a Sub-Plan Participant for Shares held in his or her Account unless he or she so requests in writing or unless such Sub-Plan Participant’s active participation in the Sub-Plan is terminated due to death, disability, separation from service or retirement.</w:t>
      </w:r>
    </w:p>
    <w:p>
      <w:pPr>
        <w:spacing w:after="0" w:line="187" w:lineRule="exact"/>
        <w:rPr>
          <w:rFonts w:ascii="Arial" w:cs="Arial" w:eastAsia="Arial" w:hAnsi="Arial"/>
          <w:sz w:val="18"/>
          <w:szCs w:val="18"/>
          <w:color w:val="010000"/>
        </w:rPr>
      </w:pPr>
    </w:p>
    <w:p>
      <w:pPr>
        <w:jc w:val="both"/>
        <w:ind w:firstLine="1587"/>
        <w:spacing w:after="0" w:line="254" w:lineRule="auto"/>
        <w:tabs>
          <w:tab w:leader="none" w:pos="2352" w:val="left"/>
        </w:tabs>
        <w:numPr>
          <w:ilvl w:val="1"/>
          <w:numId w:val="105"/>
        </w:numPr>
        <w:rPr>
          <w:rFonts w:ascii="Arial" w:cs="Arial" w:eastAsia="Arial" w:hAnsi="Arial"/>
          <w:sz w:val="18"/>
          <w:szCs w:val="18"/>
          <w:color w:val="010000"/>
        </w:rPr>
      </w:pPr>
      <w:r>
        <w:rPr>
          <w:rFonts w:ascii="Arial" w:cs="Arial" w:eastAsia="Arial" w:hAnsi="Arial"/>
          <w:sz w:val="18"/>
          <w:szCs w:val="18"/>
          <w:u w:val="single" w:color="auto"/>
          <w:color w:val="auto"/>
        </w:rPr>
        <w:t>In-Service Share Distributions</w:t>
      </w:r>
      <w:r>
        <w:rPr>
          <w:rFonts w:ascii="Arial" w:cs="Arial" w:eastAsia="Arial" w:hAnsi="Arial"/>
          <w:sz w:val="18"/>
          <w:szCs w:val="18"/>
          <w:color w:val="auto"/>
        </w:rPr>
        <w:t>. A Sub-Plan Participant may request that a certificate for all or part of the full Shares held in his or her Account be sent to him or her after the relevant Shares have been purchased and allocated. All such requests must be submitted to the Agent. No certificate for a fractional Share will be issued; the fair value of fractional Shares, as determined pursuant to the Sub-Plan on the date of withdrawal of all Shares credited to a Sub-Plan Participant’s Account, shall be paid in cash to such Sub-Plan Participant. The Sub-Plan may impose a reasonable charge, to be paid by the Sub-Plan Participant, for each stock certificate so issued prior to the date active participation in the Sub-Plan ceases; such charge shall be paid by the Sub-Plan Participant to the Administrator or Employer prior to the date any distribution of a certificate evidencing ownership of such Shares occurs.</w:t>
      </w:r>
    </w:p>
    <w:p>
      <w:pPr>
        <w:spacing w:after="0" w:line="190" w:lineRule="exact"/>
        <w:rPr>
          <w:rFonts w:ascii="Arial" w:cs="Arial" w:eastAsia="Arial" w:hAnsi="Arial"/>
          <w:sz w:val="18"/>
          <w:szCs w:val="18"/>
          <w:color w:val="010000"/>
        </w:rPr>
      </w:pPr>
    </w:p>
    <w:p>
      <w:pPr>
        <w:ind w:left="1580" w:hanging="782"/>
        <w:spacing w:after="0"/>
        <w:tabs>
          <w:tab w:leader="none" w:pos="1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Other Distributions</w:t>
      </w:r>
    </w:p>
    <w:p>
      <w:pPr>
        <w:spacing w:after="0" w:line="229" w:lineRule="exact"/>
        <w:rPr>
          <w:rFonts w:ascii="Arial" w:cs="Arial" w:eastAsia="Arial" w:hAnsi="Arial"/>
          <w:sz w:val="18"/>
          <w:szCs w:val="18"/>
          <w:b w:val="1"/>
          <w:bCs w:val="1"/>
          <w:color w:val="auto"/>
        </w:rPr>
      </w:pPr>
    </w:p>
    <w:p>
      <w:pPr>
        <w:jc w:val="both"/>
        <w:ind w:firstLine="1587"/>
        <w:spacing w:after="0" w:line="270" w:lineRule="auto"/>
        <w:tabs>
          <w:tab w:leader="none" w:pos="2352" w:val="left"/>
        </w:tabs>
        <w:numPr>
          <w:ilvl w:val="1"/>
          <w:numId w:val="106"/>
        </w:numPr>
        <w:rPr>
          <w:rFonts w:ascii="Arial" w:cs="Arial" w:eastAsia="Arial" w:hAnsi="Arial"/>
          <w:sz w:val="17"/>
          <w:szCs w:val="17"/>
          <w:color w:val="010000"/>
        </w:rPr>
      </w:pPr>
      <w:r>
        <w:rPr>
          <w:rFonts w:ascii="Arial" w:cs="Arial" w:eastAsia="Arial" w:hAnsi="Arial"/>
          <w:sz w:val="17"/>
          <w:szCs w:val="17"/>
          <w:u w:val="single" w:color="auto"/>
          <w:color w:val="auto"/>
        </w:rPr>
        <w:t>Reinvestment of Dividends</w:t>
      </w:r>
      <w:r>
        <w:rPr>
          <w:rFonts w:ascii="Arial" w:cs="Arial" w:eastAsia="Arial" w:hAnsi="Arial"/>
          <w:sz w:val="17"/>
          <w:szCs w:val="17"/>
          <w:color w:val="auto"/>
        </w:rPr>
        <w:t>. Cash dividends and other cash distributions received by the Agent on Shares held in its custody hereunder will be credited to the Accounts of individual Sub-Plan Participants in accordance with their interests in the Shares with respect to which such dividends or distributions are paid or made, and will be paid to the Sub-Plan Participant as soon as administratively feasible, unless the Sub-Plan Participant makes an election to reinvest the cash dividends or other cash distributions in accordance with procedures established by the Administrator, in which case the amounts will be applied, as soon as practical after the receipt thereof by the Agent, to the purchase in the open market or otherwise at prevailing market prices of the number of whole Shares capable of being purchased with such funds, after deduction of any bank service fees, brokerage charges, transfer taxes, and any other transaction fee, expense or cost payable in connection with the purchase of such shares and not otherwise paid by the Employer (with any remaining cash amounts returned to the Sub-Plan Participant as soon as administratively feasible, as no fractional Shares shall be purchased under the Sub-Plan).</w:t>
      </w:r>
    </w:p>
    <w:p>
      <w:pPr>
        <w:spacing w:after="0" w:line="180" w:lineRule="exact"/>
        <w:rPr>
          <w:rFonts w:ascii="Arial" w:cs="Arial" w:eastAsia="Arial" w:hAnsi="Arial"/>
          <w:sz w:val="17"/>
          <w:szCs w:val="17"/>
          <w:color w:val="010000"/>
        </w:rPr>
      </w:pPr>
    </w:p>
    <w:p>
      <w:pPr>
        <w:ind w:firstLine="1587"/>
        <w:spacing w:after="0" w:line="277" w:lineRule="auto"/>
        <w:tabs>
          <w:tab w:leader="none" w:pos="2362" w:val="left"/>
        </w:tabs>
        <w:numPr>
          <w:ilvl w:val="1"/>
          <w:numId w:val="106"/>
        </w:numPr>
        <w:rPr>
          <w:rFonts w:ascii="Arial" w:cs="Arial" w:eastAsia="Arial" w:hAnsi="Arial"/>
          <w:sz w:val="18"/>
          <w:szCs w:val="18"/>
          <w:color w:val="010000"/>
        </w:rPr>
      </w:pPr>
      <w:r>
        <w:rPr>
          <w:rFonts w:ascii="Arial" w:cs="Arial" w:eastAsia="Arial" w:hAnsi="Arial"/>
          <w:sz w:val="18"/>
          <w:szCs w:val="18"/>
          <w:u w:val="single" w:color="auto"/>
          <w:color w:val="auto"/>
        </w:rPr>
        <w:t>Shares to Be Held in Agent’s Name</w:t>
      </w:r>
      <w:r>
        <w:rPr>
          <w:rFonts w:ascii="Arial" w:cs="Arial" w:eastAsia="Arial" w:hAnsi="Arial"/>
          <w:sz w:val="18"/>
          <w:szCs w:val="18"/>
          <w:color w:val="auto"/>
        </w:rPr>
        <w:t>. All purchases of Shares made pursuant to this Section will be made in the name of the Agent or its nominee, shall be held as provided in Section 7 of the Sub-Plan, and shall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94</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jc w:val="both"/>
        <w:spacing w:after="0" w:line="255" w:lineRule="auto"/>
        <w:rPr>
          <w:sz w:val="20"/>
          <w:szCs w:val="20"/>
          <w:color w:val="auto"/>
        </w:rPr>
      </w:pPr>
      <w:r>
        <w:rPr>
          <w:rFonts w:ascii="Arial" w:cs="Arial" w:eastAsia="Arial" w:hAnsi="Arial"/>
          <w:sz w:val="18"/>
          <w:szCs w:val="18"/>
          <w:color w:val="auto"/>
        </w:rPr>
        <w:t>and credited to the Account(s) of the individual Sub-Plan Participant(s) to which such dividends or other distributions were credited. Dividends paid in the form of Shares will be allocated by the Agent, as and when received, with respect to Shares held in its custody hereunder to the Accounts of individual Sub-Plan Participants in accordance with such Sub-Plan Participants’ interests in such Shares with respect to which such dividends were paid. Property, other than Shares or cash, received by the Agent as a distribution on Shares held in its custody hereunder, shall be sold by the Agent for the accounts of the Sub-Plan Participants, and the Agent shall treat the proceeds of such sale in the same manner as cash dividends received by the Agent on Shares held in its custody hereunder.</w:t>
      </w:r>
    </w:p>
    <w:p>
      <w:pPr>
        <w:spacing w:after="0" w:line="192" w:lineRule="exact"/>
        <w:rPr>
          <w:sz w:val="20"/>
          <w:szCs w:val="20"/>
          <w:color w:val="auto"/>
        </w:rPr>
      </w:pPr>
    </w:p>
    <w:p>
      <w:pPr>
        <w:jc w:val="both"/>
        <w:ind w:firstLine="1587"/>
        <w:spacing w:after="0" w:line="286" w:lineRule="auto"/>
        <w:tabs>
          <w:tab w:leader="none" w:pos="2352" w:val="left"/>
        </w:tabs>
        <w:numPr>
          <w:ilvl w:val="1"/>
          <w:numId w:val="107"/>
        </w:numPr>
        <w:rPr>
          <w:rFonts w:ascii="Arial" w:cs="Arial" w:eastAsia="Arial" w:hAnsi="Arial"/>
          <w:sz w:val="17"/>
          <w:szCs w:val="17"/>
          <w:color w:val="010000"/>
        </w:rPr>
      </w:pPr>
      <w:r>
        <w:rPr>
          <w:rFonts w:ascii="Arial" w:cs="Arial" w:eastAsia="Arial" w:hAnsi="Arial"/>
          <w:sz w:val="17"/>
          <w:szCs w:val="17"/>
          <w:u w:val="single" w:color="auto"/>
          <w:color w:val="auto"/>
        </w:rPr>
        <w:t>Tax Responsibilities</w:t>
      </w:r>
      <w:r>
        <w:rPr>
          <w:rFonts w:ascii="Arial" w:cs="Arial" w:eastAsia="Arial" w:hAnsi="Arial"/>
          <w:sz w:val="17"/>
          <w:szCs w:val="17"/>
          <w:color w:val="auto"/>
        </w:rPr>
        <w:t>. The automatic reinvestment of dividends under the Sub-Plan will not relieve a Sub-Plan Participant (or Eligible Employee with an Account) of any income or other tax which may be due on or with respect to such dividends. The Agent shall report to each Sub-Plan Participant (or Eligible Employee with an Account) the amount of dividends credited to his or her Account.</w:t>
      </w:r>
    </w:p>
    <w:p>
      <w:pPr>
        <w:spacing w:after="0" w:line="161" w:lineRule="exact"/>
        <w:rPr>
          <w:rFonts w:ascii="Arial" w:cs="Arial" w:eastAsia="Arial" w:hAnsi="Arial"/>
          <w:sz w:val="17"/>
          <w:szCs w:val="17"/>
          <w:color w:val="010000"/>
        </w:rPr>
      </w:pPr>
    </w:p>
    <w:p>
      <w:pPr>
        <w:jc w:val="both"/>
        <w:ind w:firstLine="798"/>
        <w:spacing w:after="0" w:line="261" w:lineRule="auto"/>
        <w:tabs>
          <w:tab w:leader="none" w:pos="157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Voting of Shares</w:t>
      </w:r>
      <w:r>
        <w:rPr>
          <w:rFonts w:ascii="Arial" w:cs="Arial" w:eastAsia="Arial" w:hAnsi="Arial"/>
          <w:sz w:val="18"/>
          <w:szCs w:val="18"/>
          <w:color w:val="auto"/>
        </w:rPr>
        <w:t>. A Sub-Plan Participant shall have no interest or voting right in any Shares until such Shares have been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by the Agent in the Sub-Plan Participant’s behalf. Shares held for a Sub-Plan Participant (or Eligible Employee with an Account) in his or her Account will be voted in accordance with the Sub-Plan Participant’s (or Eligible Employee’s) express written directions. In the absence of any such directions, such Shares will not be voted.</w:t>
      </w:r>
    </w:p>
    <w:p>
      <w:pPr>
        <w:spacing w:after="0" w:line="179" w:lineRule="exact"/>
        <w:rPr>
          <w:rFonts w:ascii="Arial" w:cs="Arial" w:eastAsia="Arial" w:hAnsi="Arial"/>
          <w:sz w:val="18"/>
          <w:szCs w:val="18"/>
          <w:b w:val="1"/>
          <w:bCs w:val="1"/>
          <w:color w:val="auto"/>
        </w:rPr>
      </w:pPr>
    </w:p>
    <w:p>
      <w:pPr>
        <w:jc w:val="both"/>
        <w:ind w:firstLine="798"/>
        <w:spacing w:after="0" w:line="277" w:lineRule="auto"/>
        <w:tabs>
          <w:tab w:leader="none" w:pos="1662"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Sale of Shares</w:t>
      </w:r>
      <w:r>
        <w:rPr>
          <w:rFonts w:ascii="Arial" w:cs="Arial" w:eastAsia="Arial" w:hAnsi="Arial"/>
          <w:sz w:val="17"/>
          <w:szCs w:val="17"/>
          <w:color w:val="auto"/>
        </w:rPr>
        <w:t>. Subject to the provisions of Section 16 of the Sub-Plan, a Sub-Plan Participant may at any time,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withdrawing from the Sub-Plan, by giving notice to the Agent, direct the Agent to sell all or part of the Shares held on behalf of the Sub-Plan Participant. Upon receipt of such a notice on which the Sub-Plan Participant’s signature is guaranteed by a bank or trust company, the Agent shall, as soon as practicable after receipt of such notice, sell such Shares in the marketplace at the prevailing market price and transmit the net proceeds of such sale (less any bank service fees, brokerage charges, transfer taxes, and any other transaction fee, expense or cost) to the Sub-Plan Participant.</w:t>
      </w:r>
    </w:p>
    <w:p>
      <w:pPr>
        <w:spacing w:after="0" w:line="167" w:lineRule="exact"/>
        <w:rPr>
          <w:rFonts w:ascii="Arial" w:cs="Arial" w:eastAsia="Arial" w:hAnsi="Arial"/>
          <w:sz w:val="17"/>
          <w:szCs w:val="17"/>
          <w:b w:val="1"/>
          <w:bCs w:val="1"/>
          <w:color w:val="auto"/>
        </w:rPr>
      </w:pPr>
    </w:p>
    <w:p>
      <w:pPr>
        <w:ind w:left="1660" w:hanging="862"/>
        <w:spacing w:after="0"/>
        <w:tabs>
          <w:tab w:leader="none" w:pos="1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Withdrawals from the Sub-Plan and Revocations</w:t>
      </w:r>
    </w:p>
    <w:p>
      <w:pPr>
        <w:spacing w:after="0" w:line="229" w:lineRule="exact"/>
        <w:rPr>
          <w:rFonts w:ascii="Arial" w:cs="Arial" w:eastAsia="Arial" w:hAnsi="Arial"/>
          <w:sz w:val="18"/>
          <w:szCs w:val="18"/>
          <w:b w:val="1"/>
          <w:bCs w:val="1"/>
          <w:color w:val="auto"/>
        </w:rPr>
      </w:pPr>
    </w:p>
    <w:p>
      <w:pPr>
        <w:jc w:val="both"/>
        <w:ind w:firstLine="1587"/>
        <w:spacing w:after="0" w:line="263" w:lineRule="auto"/>
        <w:tabs>
          <w:tab w:leader="none" w:pos="235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 Sub-Plan Participant may at any time, by giving written notice to the Administrator or Employer, withdraw from the Sub-Plan or, without withdrawing from the Sub-Plan but by giving written notice to the Administrator or Employer, revoke his or her authorization for payroll deduction for the Offering Period in which such revocation is made.</w:t>
      </w:r>
    </w:p>
    <w:p>
      <w:pPr>
        <w:spacing w:after="0" w:line="183" w:lineRule="exact"/>
        <w:rPr>
          <w:rFonts w:ascii="Arial" w:cs="Arial" w:eastAsia="Arial" w:hAnsi="Arial"/>
          <w:sz w:val="18"/>
          <w:szCs w:val="18"/>
          <w:color w:val="auto"/>
        </w:rPr>
      </w:pPr>
    </w:p>
    <w:p>
      <w:pPr>
        <w:jc w:val="both"/>
        <w:ind w:firstLine="1587"/>
        <w:spacing w:after="0" w:line="263" w:lineRule="auto"/>
        <w:tabs>
          <w:tab w:leader="none" w:pos="236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Refund of Amounts Not Used to Purchase Shares</w:t>
      </w:r>
      <w:r>
        <w:rPr>
          <w:rFonts w:ascii="Arial" w:cs="Arial" w:eastAsia="Arial" w:hAnsi="Arial"/>
          <w:sz w:val="18"/>
          <w:szCs w:val="18"/>
          <w:color w:val="auto"/>
        </w:rPr>
        <w:t>. At the time of any withdrawal or revocation under this Section, any amount deducted from payroll which has not previously been used to purchase Shares will be used to purchase Shares in accordance with Section 7(a) of the Sub-Plan.</w:t>
      </w:r>
    </w:p>
    <w:p>
      <w:pPr>
        <w:spacing w:after="0" w:line="183" w:lineRule="exact"/>
        <w:rPr>
          <w:rFonts w:ascii="Arial" w:cs="Arial" w:eastAsia="Arial" w:hAnsi="Arial"/>
          <w:sz w:val="18"/>
          <w:szCs w:val="18"/>
          <w:color w:val="auto"/>
        </w:rPr>
      </w:pPr>
    </w:p>
    <w:p>
      <w:pPr>
        <w:jc w:val="both"/>
        <w:ind w:firstLine="1587"/>
        <w:spacing w:after="0" w:line="270" w:lineRule="auto"/>
        <w:tabs>
          <w:tab w:leader="none" w:pos="2352"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Withdrawal of Shares</w:t>
      </w:r>
      <w:r>
        <w:rPr>
          <w:rFonts w:ascii="Arial" w:cs="Arial" w:eastAsia="Arial" w:hAnsi="Arial"/>
          <w:sz w:val="17"/>
          <w:szCs w:val="17"/>
          <w:color w:val="auto"/>
        </w:rPr>
        <w:t>. Upon any withdrawal from the Sub-Plan as a result of separation from employment, as provided in Section 12 of the Sub-Plan, a Sub-Plan Participant (or his or her executor or personal administrator), shall elect to either transfer Shares to his or her own personal brokerage account or receive cash for the full number of Shares then being held in his or her Account. If the Sub-Plan Participant elects cash, the Agent shall sell such Shares in the marketplace at the prevailing market price and send the net proceeds (less any bank service fees, brokerage charges, transfer taxes, and any other transaction fee, expense or cost) to the Sub-Plan Participant. If no election is made, Sub-Plan Participant’s Shares will be sold as stated herein and net proceeds shall be sent to Sub-Plan Participant. In every case of withdrawal from the Sub-Plan, fractional Shares allocated to a Sub-Plan Participant’s Account will be paid in cash at the Closing Value of such Shares on the date such withdrawal becomes effective (or as soon thereafter as is administratively feasible). Upon any other withdrawal, the Sub-Plan Participant may elect to retain his or her Shares under the Sub-Plan until separation from employment for any reason, at which time this Section 11(c) shall apply.</w:t>
      </w:r>
    </w:p>
    <w:p>
      <w:pPr>
        <w:spacing w:after="0" w:line="176" w:lineRule="exact"/>
        <w:rPr>
          <w:rFonts w:ascii="Arial" w:cs="Arial" w:eastAsia="Arial" w:hAnsi="Arial"/>
          <w:sz w:val="17"/>
          <w:szCs w:val="17"/>
          <w:color w:val="auto"/>
        </w:rPr>
      </w:pPr>
    </w:p>
    <w:p>
      <w:pPr>
        <w:jc w:val="both"/>
        <w:ind w:firstLine="798"/>
        <w:spacing w:after="0" w:line="266" w:lineRule="auto"/>
        <w:tabs>
          <w:tab w:leader="none" w:pos="166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from Employment</w:t>
      </w:r>
      <w:r>
        <w:rPr>
          <w:rFonts w:ascii="Arial" w:cs="Arial" w:eastAsia="Arial" w:hAnsi="Arial"/>
          <w:sz w:val="18"/>
          <w:szCs w:val="18"/>
          <w:color w:val="auto"/>
        </w:rPr>
        <w:t>. Separation from employment for any reason, including death, disability, termination or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treated as a withdrawal from the Sub-Plan, as described in Section 11 of the Sub-Plan. A service fee will not be charged for any withdrawal attributable to a separation from employment.</w:t>
      </w:r>
    </w:p>
    <w:p>
      <w:pPr>
        <w:spacing w:after="0" w:line="175" w:lineRule="exact"/>
        <w:rPr>
          <w:rFonts w:ascii="Arial" w:cs="Arial" w:eastAsia="Arial" w:hAnsi="Arial"/>
          <w:sz w:val="18"/>
          <w:szCs w:val="18"/>
          <w:b w:val="1"/>
          <w:bCs w:val="1"/>
          <w:color w:val="auto"/>
        </w:rPr>
      </w:pPr>
    </w:p>
    <w:p>
      <w:pPr>
        <w:jc w:val="both"/>
        <w:ind w:firstLine="798"/>
        <w:spacing w:after="0" w:line="261" w:lineRule="auto"/>
        <w:tabs>
          <w:tab w:leader="none" w:pos="166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Neither payroll deductions credited to a Sub-Plan Participant’s account nor any Purchase Rights or Shares held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Sub-Plan may be assigned, alienated, transferred, pledged, or otherwise disposed of in any way by a Sub-Plan Participant other than by will or the laws of descent and distribution. Any such assignment, alienation, transfer, pledge, or other disposition shall be without effect, except that the Administrator may treat such act as an election to withdraw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95</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spacing w:after="0" w:line="277" w:lineRule="auto"/>
        <w:rPr>
          <w:sz w:val="20"/>
          <w:szCs w:val="20"/>
          <w:color w:val="auto"/>
        </w:rPr>
      </w:pPr>
      <w:r>
        <w:rPr>
          <w:rFonts w:ascii="Arial" w:cs="Arial" w:eastAsia="Arial" w:hAnsi="Arial"/>
          <w:sz w:val="18"/>
          <w:szCs w:val="18"/>
          <w:color w:val="auto"/>
        </w:rPr>
        <w:t>from the Sub-Plan as described in Section 11 of the Sub-Plan. A Sub-Plan Participant’s right to purchase Shares under this Sub-Plan may be exercisable during the Sub-Plan Participant’s lifetime only by the Sub-Plan Participant.</w:t>
      </w:r>
    </w:p>
    <w:p>
      <w:pPr>
        <w:spacing w:after="0" w:line="166" w:lineRule="exact"/>
        <w:rPr>
          <w:sz w:val="20"/>
          <w:szCs w:val="20"/>
          <w:color w:val="auto"/>
        </w:rPr>
      </w:pPr>
    </w:p>
    <w:p>
      <w:pPr>
        <w:jc w:val="both"/>
        <w:ind w:firstLine="798"/>
        <w:spacing w:after="0" w:line="266" w:lineRule="auto"/>
        <w:tabs>
          <w:tab w:leader="none" w:pos="166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 of the Sub-Plan</w:t>
      </w:r>
      <w:r>
        <w:rPr>
          <w:rFonts w:ascii="Arial" w:cs="Arial" w:eastAsia="Arial" w:hAnsi="Arial"/>
          <w:sz w:val="18"/>
          <w:szCs w:val="18"/>
          <w:color w:val="auto"/>
        </w:rPr>
        <w:t>. Subject to Section 24 of the Plan, the Board shall have the right, at any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modify or terminate the Sub-Plan without notice; however, no Sub-Plan Participant’s outstanding subscriptions shall be adversely affected by any such amendment, modification or termination.</w:t>
      </w:r>
    </w:p>
    <w:p>
      <w:pPr>
        <w:spacing w:after="0" w:line="175" w:lineRule="exact"/>
        <w:rPr>
          <w:rFonts w:ascii="Arial" w:cs="Arial" w:eastAsia="Arial" w:hAnsi="Arial"/>
          <w:sz w:val="18"/>
          <w:szCs w:val="18"/>
          <w:b w:val="1"/>
          <w:bCs w:val="1"/>
          <w:color w:val="auto"/>
        </w:rPr>
      </w:pPr>
    </w:p>
    <w:p>
      <w:pPr>
        <w:ind w:left="1680" w:hanging="882"/>
        <w:spacing w:after="0"/>
        <w:tabs>
          <w:tab w:leader="none" w:pos="16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jc w:val="both"/>
        <w:ind w:firstLine="1587"/>
        <w:spacing w:after="0" w:line="254" w:lineRule="auto"/>
        <w:tabs>
          <w:tab w:leader="none" w:pos="2352"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Section 4 of the Plan, the Sub-Plan shall be administered by the Administrator. The Administrator shall be responsible for the administration of all matters under the Sub-Plan which have not been delegated to the Agent. The Administrator shall have full and exclusive discretionary authority to construe, interpret and apply the terms of the Sub-Plan, to determine eligibility and to adjudicate all disputed claims filed under the Sub-Plan. Any rule or regulation adopted by the Administrator shall remain in full force and effect unless and until altered, amended or repealed by the Administrator. The Committee may reserve to itself any or all of the authority and responsibility of the Administrator under the Sub-Plan or may act as administrator of the Sub-Plan for any and all purposes and, in this regard, shall administer the Sub-Plan as it relates to any “Section 16 officers” of the Company.</w:t>
      </w:r>
    </w:p>
    <w:p>
      <w:pPr>
        <w:spacing w:after="0" w:line="194" w:lineRule="exact"/>
        <w:rPr>
          <w:rFonts w:ascii="Arial" w:cs="Arial" w:eastAsia="Arial" w:hAnsi="Arial"/>
          <w:sz w:val="18"/>
          <w:szCs w:val="18"/>
          <w:color w:val="auto"/>
        </w:rPr>
      </w:pPr>
    </w:p>
    <w:p>
      <w:pPr>
        <w:ind w:left="2360" w:hanging="773"/>
        <w:spacing w:after="0"/>
        <w:tabs>
          <w:tab w:leader="none" w:pos="236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Specific Responsibilities</w:t>
      </w:r>
      <w:r>
        <w:rPr>
          <w:rFonts w:ascii="Arial" w:cs="Arial" w:eastAsia="Arial" w:hAnsi="Arial"/>
          <w:sz w:val="18"/>
          <w:szCs w:val="18"/>
          <w:color w:val="auto"/>
        </w:rPr>
        <w:t>. The Administrator’s responsibilities shall include, but shall not be limited to:</w:t>
      </w:r>
    </w:p>
    <w:p>
      <w:pPr>
        <w:spacing w:after="0" w:line="225" w:lineRule="exact"/>
        <w:rPr>
          <w:rFonts w:ascii="Arial" w:cs="Arial" w:eastAsia="Arial" w:hAnsi="Arial"/>
          <w:sz w:val="18"/>
          <w:szCs w:val="18"/>
          <w:color w:val="auto"/>
        </w:rPr>
      </w:pPr>
    </w:p>
    <w:p>
      <w:pPr>
        <w:ind w:left="3240" w:hanging="863"/>
        <w:spacing w:after="0"/>
        <w:tabs>
          <w:tab w:leader="none" w:pos="3240" w:val="left"/>
        </w:tabs>
        <w:numPr>
          <w:ilvl w:val="2"/>
          <w:numId w:val="109"/>
        </w:numPr>
        <w:rPr>
          <w:rFonts w:ascii="Arial" w:cs="Arial" w:eastAsia="Arial" w:hAnsi="Arial"/>
          <w:sz w:val="17"/>
          <w:szCs w:val="17"/>
          <w:color w:val="010000"/>
        </w:rPr>
      </w:pPr>
      <w:r>
        <w:rPr>
          <w:rFonts w:ascii="Arial" w:cs="Arial" w:eastAsia="Arial" w:hAnsi="Arial"/>
          <w:sz w:val="17"/>
          <w:szCs w:val="17"/>
          <w:color w:val="auto"/>
        </w:rPr>
        <w:t>interpreting the Sub-Plan (including issues relating to the definition and application of “Compensation”);</w:t>
      </w:r>
    </w:p>
    <w:p>
      <w:pPr>
        <w:spacing w:after="0" w:line="236" w:lineRule="exact"/>
        <w:rPr>
          <w:rFonts w:ascii="Arial" w:cs="Arial" w:eastAsia="Arial" w:hAnsi="Arial"/>
          <w:sz w:val="17"/>
          <w:szCs w:val="17"/>
          <w:color w:val="010000"/>
        </w:rPr>
      </w:pPr>
    </w:p>
    <w:p>
      <w:pPr>
        <w:ind w:left="3240" w:hanging="863"/>
        <w:spacing w:after="0"/>
        <w:tabs>
          <w:tab w:leader="none" w:pos="3240" w:val="left"/>
        </w:tabs>
        <w:numPr>
          <w:ilvl w:val="2"/>
          <w:numId w:val="109"/>
        </w:numPr>
        <w:rPr>
          <w:rFonts w:ascii="Arial" w:cs="Arial" w:eastAsia="Arial" w:hAnsi="Arial"/>
          <w:sz w:val="18"/>
          <w:szCs w:val="18"/>
          <w:color w:val="010000"/>
        </w:rPr>
      </w:pPr>
      <w:r>
        <w:rPr>
          <w:rFonts w:ascii="Arial" w:cs="Arial" w:eastAsia="Arial" w:hAnsi="Arial"/>
          <w:sz w:val="18"/>
          <w:szCs w:val="18"/>
          <w:color w:val="auto"/>
        </w:rPr>
        <w:t>identifying and compiling a list of persons who are Eligible Employees for an Offering Period;</w:t>
      </w:r>
    </w:p>
    <w:p>
      <w:pPr>
        <w:spacing w:after="0" w:line="225" w:lineRule="exact"/>
        <w:rPr>
          <w:rFonts w:ascii="Arial" w:cs="Arial" w:eastAsia="Arial" w:hAnsi="Arial"/>
          <w:sz w:val="18"/>
          <w:szCs w:val="18"/>
          <w:color w:val="010000"/>
        </w:rPr>
      </w:pPr>
    </w:p>
    <w:p>
      <w:pPr>
        <w:ind w:firstLine="2377"/>
        <w:spacing w:after="0" w:line="277" w:lineRule="auto"/>
        <w:tabs>
          <w:tab w:leader="none" w:pos="3226" w:val="left"/>
        </w:tabs>
        <w:numPr>
          <w:ilvl w:val="2"/>
          <w:numId w:val="109"/>
        </w:numPr>
        <w:rPr>
          <w:rFonts w:ascii="Arial" w:cs="Arial" w:eastAsia="Arial" w:hAnsi="Arial"/>
          <w:sz w:val="18"/>
          <w:szCs w:val="18"/>
          <w:color w:val="010000"/>
        </w:rPr>
      </w:pPr>
      <w:r>
        <w:rPr>
          <w:rFonts w:ascii="Arial" w:cs="Arial" w:eastAsia="Arial" w:hAnsi="Arial"/>
          <w:sz w:val="18"/>
          <w:szCs w:val="18"/>
          <w:color w:val="auto"/>
        </w:rPr>
        <w:t>identifying those Eligible Employees not entitled to subscribe for Shares during any Offering Period on account of the limitations described in Section 3(b) of the Sub-Plan; and</w:t>
      </w:r>
    </w:p>
    <w:p>
      <w:pPr>
        <w:spacing w:after="0" w:line="170" w:lineRule="exact"/>
        <w:rPr>
          <w:rFonts w:ascii="Arial" w:cs="Arial" w:eastAsia="Arial" w:hAnsi="Arial"/>
          <w:sz w:val="18"/>
          <w:szCs w:val="18"/>
          <w:color w:val="010000"/>
        </w:rPr>
      </w:pPr>
    </w:p>
    <w:p>
      <w:pPr>
        <w:jc w:val="both"/>
        <w:ind w:firstLine="2377"/>
        <w:spacing w:after="0" w:line="263" w:lineRule="auto"/>
        <w:tabs>
          <w:tab w:leader="none" w:pos="3226" w:val="left"/>
        </w:tabs>
        <w:numPr>
          <w:ilvl w:val="2"/>
          <w:numId w:val="109"/>
        </w:numPr>
        <w:rPr>
          <w:rFonts w:ascii="Arial" w:cs="Arial" w:eastAsia="Arial" w:hAnsi="Arial"/>
          <w:sz w:val="18"/>
          <w:szCs w:val="18"/>
          <w:color w:val="010000"/>
        </w:rPr>
      </w:pPr>
      <w:r>
        <w:rPr>
          <w:rFonts w:ascii="Arial" w:cs="Arial" w:eastAsia="Arial" w:hAnsi="Arial"/>
          <w:sz w:val="18"/>
          <w:szCs w:val="18"/>
          <w:color w:val="auto"/>
        </w:rPr>
        <w:t>providing prompt notice to the Agent of the enrollment of Eligible Employees, the Shares to be credited to Sub-Plan Participants’ Accounts, and any written notices of withdrawal or revocation of authorization filed with the Administrator by individual Sub-Plan Participants.</w:t>
      </w:r>
    </w:p>
    <w:p>
      <w:pPr>
        <w:spacing w:after="0" w:line="184" w:lineRule="exact"/>
        <w:rPr>
          <w:sz w:val="20"/>
          <w:szCs w:val="20"/>
          <w:color w:val="auto"/>
        </w:rPr>
      </w:pPr>
    </w:p>
    <w:p>
      <w:pPr>
        <w:jc w:val="both"/>
        <w:ind w:right="20" w:firstLine="1579"/>
        <w:spacing w:after="0" w:line="286" w:lineRule="auto"/>
        <w:rPr>
          <w:sz w:val="20"/>
          <w:szCs w:val="20"/>
          <w:color w:val="auto"/>
        </w:rPr>
      </w:pPr>
      <w:r>
        <w:rPr>
          <w:rFonts w:ascii="Arial" w:cs="Arial" w:eastAsia="Arial" w:hAnsi="Arial"/>
          <w:sz w:val="17"/>
          <w:szCs w:val="17"/>
          <w:color w:val="auto"/>
        </w:rPr>
        <w:t>The Administrator may from time to time adopt rules and regulations for carrying out the terms of the Sub-Plan. Interpretation or construction of any provision of the Sub-Plan by the Administrator shall be final and conclusive on all persons, absent specific and contrary action taken by the Board. Any interpretation or construction of any provision of the Sub-Plan by the Board shall be final and conclusive.</w:t>
      </w:r>
    </w:p>
    <w:p>
      <w:pPr>
        <w:spacing w:after="0" w:line="165" w:lineRule="exact"/>
        <w:rPr>
          <w:sz w:val="20"/>
          <w:szCs w:val="20"/>
          <w:color w:val="auto"/>
        </w:rPr>
      </w:pPr>
    </w:p>
    <w:p>
      <w:pPr>
        <w:jc w:val="both"/>
        <w:ind w:firstLine="1587"/>
        <w:spacing w:after="0" w:line="259" w:lineRule="auto"/>
        <w:tabs>
          <w:tab w:leader="none" w:pos="2352"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Electronic or Other Media</w:t>
      </w:r>
      <w:r>
        <w:rPr>
          <w:rFonts w:ascii="Arial" w:cs="Arial" w:eastAsia="Arial" w:hAnsi="Arial"/>
          <w:sz w:val="18"/>
          <w:szCs w:val="18"/>
          <w:color w:val="auto"/>
        </w:rPr>
        <w:t>. Notwithstanding any other provision of the Sub-Plan to the contrary, including any provision that requires the use of a written instrument, the Administrator may establish procedures for the use of electronic or other media in communications and transactions between the Sub-Plan or the Agent and Sub-Plan Participants. Electronic or other media may include, but are not limited to: e-mail, the Internet, intranet systems and automated telephonic response systems.</w:t>
      </w:r>
    </w:p>
    <w:p>
      <w:pPr>
        <w:spacing w:after="0" w:line="182" w:lineRule="exact"/>
        <w:rPr>
          <w:rFonts w:ascii="Arial" w:cs="Arial" w:eastAsia="Arial" w:hAnsi="Arial"/>
          <w:sz w:val="18"/>
          <w:szCs w:val="18"/>
          <w:color w:val="auto"/>
        </w:rPr>
      </w:pPr>
    </w:p>
    <w:p>
      <w:pPr>
        <w:ind w:left="1680" w:hanging="882"/>
        <w:spacing w:after="0"/>
        <w:tabs>
          <w:tab w:leader="none" w:pos="16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Restrictions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Notwithstanding any provision of the Sub-Plan to the contrary:</w:t>
      </w:r>
    </w:p>
    <w:p>
      <w:pPr>
        <w:spacing w:after="0" w:line="225" w:lineRule="exact"/>
        <w:rPr>
          <w:sz w:val="20"/>
          <w:szCs w:val="20"/>
          <w:color w:val="auto"/>
        </w:rPr>
      </w:pPr>
    </w:p>
    <w:p>
      <w:pPr>
        <w:ind w:firstLine="1587"/>
        <w:spacing w:after="0" w:line="277" w:lineRule="auto"/>
        <w:tabs>
          <w:tab w:leader="none" w:pos="2352" w:val="left"/>
        </w:tabs>
        <w:numPr>
          <w:ilvl w:val="0"/>
          <w:numId w:val="112"/>
        </w:numPr>
        <w:rPr>
          <w:rFonts w:ascii="Arial" w:cs="Arial" w:eastAsia="Arial" w:hAnsi="Arial"/>
          <w:sz w:val="18"/>
          <w:szCs w:val="18"/>
          <w:color w:val="010000"/>
        </w:rPr>
      </w:pPr>
      <w:r>
        <w:rPr>
          <w:rFonts w:ascii="Arial" w:cs="Arial" w:eastAsia="Arial" w:hAnsi="Arial"/>
          <w:sz w:val="18"/>
          <w:szCs w:val="18"/>
          <w:u w:val="single" w:color="auto"/>
          <w:color w:val="auto"/>
        </w:rPr>
        <w:t>Need for Registration Statement</w:t>
      </w:r>
      <w:r>
        <w:rPr>
          <w:rFonts w:ascii="Arial" w:cs="Arial" w:eastAsia="Arial" w:hAnsi="Arial"/>
          <w:sz w:val="18"/>
          <w:szCs w:val="18"/>
          <w:color w:val="auto"/>
        </w:rPr>
        <w:t>. No Shares may be purchased under the Sub-Plan until a registration statement has been filed and become effective with respect to the issuance of the Shares covered by the Plan under the Act.</w:t>
      </w:r>
    </w:p>
    <w:p>
      <w:pPr>
        <w:spacing w:after="0" w:line="170" w:lineRule="exact"/>
        <w:rPr>
          <w:rFonts w:ascii="Arial" w:cs="Arial" w:eastAsia="Arial" w:hAnsi="Arial"/>
          <w:sz w:val="18"/>
          <w:szCs w:val="18"/>
          <w:color w:val="010000"/>
        </w:rPr>
      </w:pPr>
    </w:p>
    <w:p>
      <w:pPr>
        <w:ind w:left="2360" w:hanging="773"/>
        <w:spacing w:after="0"/>
        <w:tabs>
          <w:tab w:leader="none" w:pos="2360" w:val="left"/>
        </w:tabs>
        <w:numPr>
          <w:ilvl w:val="0"/>
          <w:numId w:val="112"/>
        </w:numPr>
        <w:rPr>
          <w:rFonts w:ascii="Arial" w:cs="Arial" w:eastAsia="Arial" w:hAnsi="Arial"/>
          <w:sz w:val="17"/>
          <w:szCs w:val="17"/>
          <w:color w:val="010000"/>
        </w:rPr>
      </w:pPr>
      <w:r>
        <w:rPr>
          <w:rFonts w:ascii="Arial" w:cs="Arial" w:eastAsia="Arial" w:hAnsi="Arial"/>
          <w:sz w:val="17"/>
          <w:szCs w:val="17"/>
          <w:u w:val="single" w:color="auto"/>
          <w:color w:val="auto"/>
        </w:rPr>
        <w:t>Insider Restrictions</w:t>
      </w:r>
      <w:r>
        <w:rPr>
          <w:rFonts w:ascii="Arial" w:cs="Arial" w:eastAsia="Arial" w:hAnsi="Arial"/>
          <w:sz w:val="17"/>
          <w:szCs w:val="17"/>
          <w:color w:val="auto"/>
        </w:rPr>
        <w:t>.  The following restrictions or provisions shall apply to Sub-Plan Participants who are “Section 16</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500"/>
        <w:spacing w:after="0"/>
        <w:tabs>
          <w:tab w:leader="none" w:pos="5680" w:val="left"/>
          <w:tab w:leader="none" w:pos="96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96</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205740" cy="2057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jc w:val="both"/>
        <w:ind w:left="-500" w:right="20" w:firstLine="2377"/>
        <w:spacing w:after="0" w:line="263" w:lineRule="auto"/>
        <w:tabs>
          <w:tab w:leader="none" w:pos="2726" w:val="left"/>
        </w:tabs>
        <w:numPr>
          <w:ilvl w:val="1"/>
          <w:numId w:val="113"/>
        </w:numPr>
        <w:rPr>
          <w:rFonts w:ascii="Arial" w:cs="Arial" w:eastAsia="Arial" w:hAnsi="Arial"/>
          <w:sz w:val="18"/>
          <w:szCs w:val="18"/>
          <w:color w:val="010000"/>
        </w:rPr>
      </w:pPr>
      <w:r>
        <w:rPr>
          <w:rFonts w:ascii="Arial" w:cs="Arial" w:eastAsia="Arial" w:hAnsi="Arial"/>
          <w:sz w:val="18"/>
          <w:szCs w:val="18"/>
          <w:color w:val="auto"/>
        </w:rPr>
        <w:t>Any withdrawal of Shares from such a Sub-Plan Participant’s Account shall suspend the right of such Sub-Plan Participant to have Shares purchased under both the employee stock purchase feature of the Sub-Plan and the dividend reinvestment feature of the Sub-Plan, for a period of six (6) months;</w:t>
      </w:r>
    </w:p>
    <w:p>
      <w:pPr>
        <w:spacing w:after="0" w:line="183" w:lineRule="exact"/>
        <w:rPr>
          <w:rFonts w:ascii="Arial" w:cs="Arial" w:eastAsia="Arial" w:hAnsi="Arial"/>
          <w:sz w:val="18"/>
          <w:szCs w:val="18"/>
          <w:color w:val="010000"/>
        </w:rPr>
      </w:pPr>
    </w:p>
    <w:p>
      <w:pPr>
        <w:jc w:val="both"/>
        <w:ind w:left="-500" w:firstLine="2377"/>
        <w:spacing w:after="0" w:line="263" w:lineRule="auto"/>
        <w:tabs>
          <w:tab w:leader="none" w:pos="2726" w:val="left"/>
        </w:tabs>
        <w:numPr>
          <w:ilvl w:val="1"/>
          <w:numId w:val="113"/>
        </w:numPr>
        <w:rPr>
          <w:rFonts w:ascii="Arial" w:cs="Arial" w:eastAsia="Arial" w:hAnsi="Arial"/>
          <w:sz w:val="18"/>
          <w:szCs w:val="18"/>
          <w:color w:val="010000"/>
        </w:rPr>
      </w:pPr>
      <w:r>
        <w:rPr>
          <w:rFonts w:ascii="Arial" w:cs="Arial" w:eastAsia="Arial" w:hAnsi="Arial"/>
          <w:sz w:val="18"/>
          <w:szCs w:val="18"/>
          <w:color w:val="auto"/>
        </w:rPr>
        <w:t>Any such Sub-Plan Participant who ceases participation in the Sub-Plan or who revokes his or her authorization for payroll deduction pursuant to Section 11 of the Sub-Plan may not again participate in the Sub-Plan or authorize any additional payroll deductions, for a period of at least six (6) months;</w:t>
      </w:r>
    </w:p>
    <w:p>
      <w:pPr>
        <w:spacing w:after="0" w:line="183" w:lineRule="exact"/>
        <w:rPr>
          <w:rFonts w:ascii="Arial" w:cs="Arial" w:eastAsia="Arial" w:hAnsi="Arial"/>
          <w:sz w:val="18"/>
          <w:szCs w:val="18"/>
          <w:color w:val="010000"/>
        </w:rPr>
      </w:pPr>
    </w:p>
    <w:p>
      <w:pPr>
        <w:ind w:left="-500" w:firstLine="2377"/>
        <w:spacing w:after="0" w:line="277" w:lineRule="auto"/>
        <w:tabs>
          <w:tab w:leader="none" w:pos="2726" w:val="left"/>
        </w:tabs>
        <w:numPr>
          <w:ilvl w:val="1"/>
          <w:numId w:val="113"/>
        </w:numPr>
        <w:rPr>
          <w:rFonts w:ascii="Arial" w:cs="Arial" w:eastAsia="Arial" w:hAnsi="Arial"/>
          <w:sz w:val="18"/>
          <w:szCs w:val="18"/>
          <w:color w:val="010000"/>
        </w:rPr>
      </w:pPr>
      <w:r>
        <w:rPr>
          <w:rFonts w:ascii="Arial" w:cs="Arial" w:eastAsia="Arial" w:hAnsi="Arial"/>
          <w:sz w:val="18"/>
          <w:szCs w:val="18"/>
          <w:color w:val="auto"/>
        </w:rPr>
        <w:t>Any certificates evidencing ownership of Shares purchased under the Sub-Plan for such a Sub-Plan Participant may be legended to disclose the restrictions set forth in this Section; and</w:t>
      </w:r>
    </w:p>
    <w:p>
      <w:pPr>
        <w:spacing w:after="0" w:line="170" w:lineRule="exact"/>
        <w:rPr>
          <w:rFonts w:ascii="Arial" w:cs="Arial" w:eastAsia="Arial" w:hAnsi="Arial"/>
          <w:sz w:val="18"/>
          <w:szCs w:val="18"/>
          <w:color w:val="010000"/>
        </w:rPr>
      </w:pPr>
    </w:p>
    <w:p>
      <w:pPr>
        <w:ind w:left="-500" w:firstLine="2377"/>
        <w:spacing w:after="0" w:line="277" w:lineRule="auto"/>
        <w:tabs>
          <w:tab w:leader="none" w:pos="2726" w:val="left"/>
        </w:tabs>
        <w:numPr>
          <w:ilvl w:val="1"/>
          <w:numId w:val="113"/>
        </w:numPr>
        <w:rPr>
          <w:rFonts w:ascii="Arial" w:cs="Arial" w:eastAsia="Arial" w:hAnsi="Arial"/>
          <w:sz w:val="18"/>
          <w:szCs w:val="18"/>
          <w:color w:val="010000"/>
        </w:rPr>
      </w:pPr>
      <w:r>
        <w:rPr>
          <w:rFonts w:ascii="Arial" w:cs="Arial" w:eastAsia="Arial" w:hAnsi="Arial"/>
          <w:sz w:val="18"/>
          <w:szCs w:val="18"/>
          <w:color w:val="auto"/>
        </w:rPr>
        <w:t>Any such Sub-Plan Participant who wishes to withdraw or sell Shares must withdraw or sell all of such Sub-Plan Participant’s Shares under the Sub-Plan.</w:t>
      </w:r>
    </w:p>
    <w:p>
      <w:pPr>
        <w:spacing w:after="0" w:line="166" w:lineRule="exact"/>
        <w:rPr>
          <w:rFonts w:ascii="Arial" w:cs="Arial" w:eastAsia="Arial" w:hAnsi="Arial"/>
          <w:sz w:val="18"/>
          <w:szCs w:val="18"/>
          <w:color w:val="010000"/>
        </w:rPr>
      </w:pPr>
    </w:p>
    <w:p>
      <w:pPr>
        <w:ind w:left="-500" w:firstLine="798"/>
        <w:spacing w:after="0" w:line="282" w:lineRule="auto"/>
        <w:tabs>
          <w:tab w:leader="none" w:pos="116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In the event of Sub-Plan Participant’s death, the Administrator or Agent shall deliver his or her Shares and/or cash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Sub-Plan to the executor or administrator of Sub-Plan Participant’s estate.</w:t>
      </w:r>
    </w:p>
    <w:p>
      <w:pPr>
        <w:spacing w:after="0" w:line="161" w:lineRule="exact"/>
        <w:rPr>
          <w:rFonts w:ascii="Arial" w:cs="Arial" w:eastAsia="Arial" w:hAnsi="Arial"/>
          <w:sz w:val="18"/>
          <w:szCs w:val="18"/>
          <w:b w:val="1"/>
          <w:bCs w:val="1"/>
          <w:color w:val="auto"/>
        </w:rPr>
      </w:pPr>
    </w:p>
    <w:p>
      <w:pPr>
        <w:ind w:left="-500" w:right="120" w:firstLine="798"/>
        <w:spacing w:after="0" w:line="261" w:lineRule="auto"/>
        <w:tabs>
          <w:tab w:leader="none" w:pos="116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Notwithstanding anything contained in this Sub-Plan to the contrary, in no event shall the purchase of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Offering Period occur later than March 15 of the calendar year immediately following the year in which occurs the last day of that Offering Period. This Sub-Plan is intended to comply with the short-term deferral exception to Section 409A of the Code and shall be construed, administered, and governed in a manner that effects such intent.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202565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tabs>
          <w:tab w:leader="none" w:pos="5180" w:val="left"/>
          <w:tab w:leader="none" w:pos="9120" w:val="left"/>
        </w:tabs>
        <w:rPr>
          <w:sz w:val="20"/>
          <w:szCs w:val="20"/>
          <w:color w:val="auto"/>
        </w:rPr>
      </w:pPr>
      <w:r>
        <w:rPr>
          <w:rFonts w:ascii="Arial" w:cs="Arial" w:eastAsia="Arial" w:hAnsi="Arial"/>
          <w:sz w:val="18"/>
          <w:szCs w:val="18"/>
          <w:color w:val="auto"/>
        </w:rPr>
        <w:t>The E.W. Scripps Company</w:t>
      </w:r>
      <w:r>
        <w:rPr>
          <w:sz w:val="20"/>
          <w:szCs w:val="20"/>
          <w:color w:val="auto"/>
        </w:rPr>
        <w:tab/>
      </w:r>
      <w:r>
        <w:rPr>
          <w:rFonts w:ascii="Arial" w:cs="Arial" w:eastAsia="Arial" w:hAnsi="Arial"/>
          <w:sz w:val="25"/>
          <w:szCs w:val="25"/>
          <w:b w:val="1"/>
          <w:bCs w:val="1"/>
          <w:color w:val="0033A0"/>
        </w:rPr>
        <w:t>97</w:t>
      </w:r>
      <w:r>
        <w:rPr>
          <w:sz w:val="20"/>
          <w:szCs w:val="20"/>
          <w:color w:val="auto"/>
        </w:rPr>
        <w:tab/>
      </w:r>
      <w:r>
        <w:rPr>
          <w:rFonts w:ascii="Arial" w:cs="Arial" w:eastAsia="Arial" w:hAnsi="Arial"/>
          <w:sz w:val="16"/>
          <w:szCs w:val="16"/>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174625</wp:posOffset>
            </wp:positionV>
            <wp:extent cx="71494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-175895</wp:posOffset>
            </wp:positionV>
            <wp:extent cx="205740" cy="205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49465" cy="79552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7955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5846445" cy="63950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6395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lvl w:ilvl="1">
      <w:lvlJc w:val="left"/>
      <w:lvlText w:val="(%2)"/>
      <w:numFmt w:val="decimal"/>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27"/>
    </w:lvl>
  </w:abstractNum>
  <w:abstractNum w:abstractNumId="6">
    <w:nsid w:val="D34B6A8"/>
    <w:multiLevelType w:val="hybridMultilevel"/>
    <w:lvl w:ilvl="0">
      <w:lvlJc w:val="left"/>
      <w:lvlText w:val="%1"/>
      <w:numFmt w:val="decimal"/>
      <w:start w:val="28"/>
    </w:lvl>
  </w:abstractNum>
  <w:abstractNum w:abstractNumId="7">
    <w:nsid w:val="10233C99"/>
    <w:multiLevelType w:val="hybridMultilevel"/>
    <w:lvl w:ilvl="0">
      <w:lvlJc w:val="left"/>
      <w:lvlText w:val="%1"/>
      <w:numFmt w:val="decimal"/>
      <w:start w:val="30"/>
    </w:lvl>
  </w:abstractNum>
  <w:abstractNum w:abstractNumId="8">
    <w:nsid w:val="3F6AB60F"/>
    <w:multiLevelType w:val="hybridMultilevel"/>
    <w:lvl w:ilvl="0">
      <w:lvlJc w:val="left"/>
      <w:lvlText w:val="%1"/>
      <w:numFmt w:val="decimal"/>
      <w:start w:val="31"/>
    </w:lvl>
  </w:abstractNum>
  <w:abstractNum w:abstractNumId="9">
    <w:nsid w:val="61574095"/>
    <w:multiLevelType w:val="hybridMultilevel"/>
    <w:lvl w:ilvl="0">
      <w:lvlJc w:val="left"/>
      <w:lvlText w:val="%1"/>
      <w:numFmt w:val="decimal"/>
      <w:start w:val="34"/>
    </w:lvl>
  </w:abstractNum>
  <w:abstractNum w:abstractNumId="10">
    <w:nsid w:val="7E0C57B1"/>
    <w:multiLevelType w:val="hybridMultilevel"/>
    <w:lvl w:ilvl="0">
      <w:lvlJc w:val="left"/>
      <w:lvlText w:val="(%1)"/>
      <w:numFmt w:val="lowerRoman"/>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2"/>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lowerRoman"/>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lowerRoman"/>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41">
    <w:nsid w:val="A0382C5"/>
    <w:multiLevelType w:val="hybridMultilevel"/>
    <w:lvl w:ilvl="0">
      <w:lvlJc w:val="left"/>
      <w:lvlText w:val="%1."/>
      <w:numFmt w:val="lowerRoman"/>
      <w:start w:val="7"/>
    </w:lvl>
    <w:lvl w:ilvl="1">
      <w:lvlJc w:val="left"/>
      <w:lvlText w:val="%2."/>
      <w:numFmt w:val="lowerRoman"/>
      <w:start w:val="8"/>
    </w:lvl>
  </w:abstractNum>
  <w:abstractNum w:abstractNumId="42">
    <w:nsid w:val="8F2B15E"/>
    <w:multiLevelType w:val="hybridMultilevel"/>
    <w:lvl w:ilvl="0">
      <w:lvlJc w:val="left"/>
      <w:lvlText w:val="(%1)"/>
      <w:numFmt w:val="lowerRoman"/>
      <w:start w:val="1"/>
    </w:lvl>
  </w:abstractNum>
  <w:abstractNum w:abstractNumId="43">
    <w:nsid w:val="1A32234B"/>
    <w:multiLevelType w:val="hybridMultilevel"/>
    <w:lvl w:ilvl="0">
      <w:lvlJc w:val="left"/>
      <w:lvlText w:val="(%1)"/>
      <w:numFmt w:val="lowerRoman"/>
      <w:start w:val="1"/>
    </w:lvl>
  </w:abstractNum>
  <w:abstractNum w:abstractNumId="44">
    <w:nsid w:val="3B0FD379"/>
    <w:multiLevelType w:val="hybridMultilevel"/>
    <w:lvl w:ilvl="0">
      <w:lvlJc w:val="left"/>
      <w:lvlText w:val="(%1)"/>
      <w:numFmt w:val="decimal"/>
      <w:start w:val="1"/>
    </w:lvl>
    <w:lvl w:ilvl="1">
      <w:lvlJc w:val="left"/>
      <w:lvlText w:val="✓"/>
      <w:numFmt w:val="bullet"/>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1"/>
    </w:lvl>
    <w:lvl w:ilvl="1">
      <w:lvlJc w:val="left"/>
      <w:lvlText w:val="(%2)"/>
      <w:numFmt w:val="lowerLetter"/>
      <w:start w:val="1"/>
    </w:lvl>
  </w:abstractNum>
  <w:abstractNum w:abstractNumId="47">
    <w:nsid w:val="60B6DF70"/>
    <w:multiLevelType w:val="hybridMultilevel"/>
    <w:lvl w:ilvl="0">
      <w:lvlJc w:val="left"/>
      <w:lvlText w:val="%1."/>
      <w:numFmt w:val="decimal"/>
      <w:start w:val="2"/>
    </w:lvl>
    <w:lvl w:ilvl="1">
      <w:lvlJc w:val="left"/>
      <w:lvlText w:val="%2"/>
      <w:numFmt w:val="lowerLetter"/>
      <w:start w:val="1"/>
    </w:lvl>
  </w:abstractNum>
  <w:abstractNum w:abstractNumId="48">
    <w:nsid w:val="6A5EE64"/>
    <w:multiLevelType w:val="hybridMultilevel"/>
    <w:lvl w:ilvl="0">
      <w:lvlJc w:val="left"/>
      <w:lvlText w:val="%1."/>
      <w:numFmt w:val="decimal"/>
      <w:start w:val="3"/>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3"/>
    </w:lvl>
    <w:lvl w:ilvl="1">
      <w:lvlJc w:val="left"/>
      <w:lvlText w:val="(%2)"/>
      <w:numFmt w:val="lowerRoman"/>
      <w:start w:val="1"/>
    </w:lvl>
  </w:abstractNum>
  <w:abstractNum w:abstractNumId="51">
    <w:nsid w:val="1A27709E"/>
    <w:multiLevelType w:val="hybridMultilevel"/>
    <w:lvl w:ilvl="0">
      <w:lvlJc w:val="left"/>
      <w:lvlText w:val="%1."/>
      <w:numFmt w:val="decimal"/>
      <w:start w:val="4"/>
    </w:lvl>
  </w:abstractNum>
  <w:abstractNum w:abstractNumId="52">
    <w:nsid w:val="71EA1109"/>
    <w:multiLevelType w:val="hybridMultilevel"/>
    <w:lvl w:ilvl="0">
      <w:lvlJc w:val="left"/>
      <w:lvlText w:val="%1"/>
      <w:numFmt w:val="decimal"/>
      <w:start w:val="1"/>
    </w:lvl>
    <w:lvl w:ilvl="1">
      <w:lvlJc w:val="left"/>
      <w:lvlText w:val="(%2)"/>
      <w:numFmt w:val="lowerLetter"/>
      <w:start w:val="1"/>
    </w:lvl>
  </w:abstractNum>
  <w:abstractNum w:abstractNumId="53">
    <w:nsid w:val="100F59DC"/>
    <w:multiLevelType w:val="hybridMultilevel"/>
    <w:lvl w:ilvl="0">
      <w:lvlJc w:val="left"/>
      <w:lvlText w:val="%1."/>
      <w:numFmt w:val="decimal"/>
      <w:start w:val="5"/>
    </w:lvl>
    <w:lvl w:ilvl="1">
      <w:lvlJc w:val="left"/>
      <w:lvlText w:val="%2"/>
      <w:numFmt w:val="lowerLetter"/>
      <w:start w:val="1"/>
    </w:lvl>
  </w:abstractNum>
  <w:abstractNum w:abstractNumId="54">
    <w:nsid w:val="7FB7E0AA"/>
    <w:multiLevelType w:val="hybridMultilevel"/>
    <w:lvl w:ilvl="0">
      <w:lvlJc w:val="left"/>
      <w:lvlText w:val="%1"/>
      <w:numFmt w:val="decimal"/>
      <w:start w:val="1"/>
    </w:lvl>
    <w:lvl w:ilvl="1">
      <w:lvlJc w:val="left"/>
      <w:lvlText w:val="(%2)"/>
      <w:numFmt w:val="lowerLetter"/>
      <w:start w:val="1"/>
    </w:lvl>
  </w:abstractNum>
  <w:abstractNum w:abstractNumId="55">
    <w:nsid w:val="6EB5BD4"/>
    <w:multiLevelType w:val="hybridMultilevel"/>
    <w:lvl w:ilvl="0">
      <w:lvlJc w:val="left"/>
      <w:lvlText w:val="%1."/>
      <w:numFmt w:val="decimal"/>
      <w:start w:val="6"/>
    </w:lvl>
    <w:lvl w:ilvl="1">
      <w:lvlJc w:val="left"/>
      <w:lvlText w:val="%2"/>
      <w:numFmt w:val="lowerLetter"/>
      <w:start w:val="1"/>
    </w:lvl>
  </w:abstractNum>
  <w:abstractNum w:abstractNumId="56">
    <w:nsid w:val="6F6DD9AC"/>
    <w:multiLevelType w:val="hybridMultilevel"/>
    <w:lvl w:ilvl="0">
      <w:lvlJc w:val="left"/>
      <w:lvlText w:val="."/>
      <w:numFmt w:val="bullet"/>
      <w:start w:val="1"/>
    </w:lvl>
    <w:lvl w:ilvl="1">
      <w:lvlJc w:val="left"/>
      <w:lvlText w:val="(%2)"/>
      <w:numFmt w:val="lowerLetter"/>
      <w:start w:val="1"/>
    </w:lvl>
  </w:abstractNum>
  <w:abstractNum w:abstractNumId="57">
    <w:nsid w:val="94211F2"/>
    <w:multiLevelType w:val="hybridMultilevel"/>
    <w:lvl w:ilvl="0">
      <w:lvlJc w:val="left"/>
      <w:lvlText w:val="%1"/>
      <w:numFmt w:val="decimal"/>
      <w:start w:val="1"/>
    </w:lvl>
    <w:lvl w:ilvl="1">
      <w:lvlJc w:val="left"/>
      <w:lvlText w:val="(%2)"/>
      <w:numFmt w:val="lowerLetter"/>
      <w:start w:val="2"/>
    </w:lvl>
  </w:abstractNum>
  <w:abstractNum w:abstractNumId="58">
    <w:nsid w:val="885E1B"/>
    <w:multiLevelType w:val="hybridMultilevel"/>
    <w:lvl w:ilvl="0">
      <w:lvlJc w:val="left"/>
      <w:lvlText w:val="%1."/>
      <w:numFmt w:val="decimal"/>
      <w:start w:val="7"/>
    </w:lvl>
    <w:lvl w:ilvl="1">
      <w:lvlJc w:val="left"/>
      <w:lvlText w:val="%2"/>
      <w:numFmt w:val="lowerLetter"/>
      <w:start w:val="1"/>
    </w:lvl>
  </w:abstractNum>
  <w:abstractNum w:abstractNumId="59">
    <w:nsid w:val="76272110"/>
    <w:multiLevelType w:val="hybridMultilevel"/>
    <w:lvl w:ilvl="0">
      <w:lvlJc w:val="left"/>
      <w:lvlText w:val="."/>
      <w:numFmt w:val="bullet"/>
      <w:start w:val="1"/>
    </w:lvl>
    <w:lvl w:ilvl="1">
      <w:lvlJc w:val="left"/>
      <w:lvlText w:val="(%2)"/>
      <w:numFmt w:val="lowerLetter"/>
      <w:start w:val="1"/>
    </w:lvl>
  </w:abstractNum>
  <w:abstractNum w:abstractNumId="60">
    <w:nsid w:val="4C04A8AF"/>
    <w:multiLevelType w:val="hybridMultilevel"/>
    <w:lvl w:ilvl="0">
      <w:lvlJc w:val="left"/>
      <w:lvlText w:val="%1"/>
      <w:numFmt w:val="decimal"/>
      <w:start w:val="1"/>
    </w:lvl>
    <w:lvl w:ilvl="1">
      <w:lvlJc w:val="left"/>
      <w:lvlText w:val="(%2)"/>
      <w:numFmt w:val="lowerLetter"/>
      <w:start w:val="5"/>
    </w:lvl>
  </w:abstractNum>
  <w:abstractNum w:abstractNumId="61">
    <w:nsid w:val="1716703B"/>
    <w:multiLevelType w:val="hybridMultilevel"/>
    <w:lvl w:ilvl="0">
      <w:lvlJc w:val="left"/>
      <w:lvlText w:val="%1."/>
      <w:numFmt w:val="decimal"/>
      <w:start w:val="8"/>
    </w:lvl>
    <w:lvl w:ilvl="1">
      <w:lvlJc w:val="left"/>
      <w:lvlText w:val="%2"/>
      <w:numFmt w:val="lowerLetter"/>
      <w:start w:val="1"/>
    </w:lvl>
  </w:abstractNum>
  <w:abstractNum w:abstractNumId="62">
    <w:nsid w:val="14E17E3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3">
    <w:nsid w:val="3222E7CD"/>
    <w:multiLevelType w:val="hybridMultilevel"/>
    <w:lvl w:ilvl="0">
      <w:lvlJc w:val="left"/>
      <w:lvlText w:val="."/>
      <w:numFmt w:val="bullet"/>
      <w:start w:val="1"/>
    </w:lvl>
    <w:lvl w:ilvl="1">
      <w:lvlJc w:val="left"/>
      <w:lvlText w:val="%2."/>
      <w:numFmt w:val="decimal"/>
      <w:start w:val="9"/>
    </w:lvl>
    <w:lvl w:ilvl="2">
      <w:lvlJc w:val="left"/>
      <w:lvlText w:val="%3"/>
      <w:numFmt w:val="lowerLetter"/>
      <w:start w:val="1"/>
    </w:lvl>
  </w:abstractNum>
  <w:abstractNum w:abstractNumId="64">
    <w:nsid w:val="74DE0EE3"/>
    <w:multiLevelType w:val="hybridMultilevel"/>
    <w:lvl w:ilvl="0">
      <w:lvlJc w:val="left"/>
      <w:lvlText w:val="."/>
      <w:numFmt w:val="bullet"/>
      <w:start w:val="1"/>
    </w:lvl>
    <w:lvl w:ilvl="1">
      <w:lvlJc w:val="left"/>
      <w:lvlText w:val="(%2)"/>
      <w:numFmt w:val="lowerLetter"/>
      <w:start w:val="1"/>
    </w:lvl>
  </w:abstractNum>
  <w:abstractNum w:abstractNumId="65">
    <w:nsid w:val="68EBC550"/>
    <w:multiLevelType w:val="hybridMultilevel"/>
    <w:lvl w:ilvl="0">
      <w:lvlJc w:val="left"/>
      <w:lvlText w:val="%1"/>
      <w:numFmt w:val="decimal"/>
      <w:start w:val="1"/>
    </w:lvl>
    <w:lvl w:ilvl="1">
      <w:lvlJc w:val="left"/>
      <w:lvlText w:val="(%2)"/>
      <w:numFmt w:val="lowerLetter"/>
      <w:start w:val="2"/>
    </w:lvl>
  </w:abstractNum>
  <w:abstractNum w:abstractNumId="66">
    <w:nsid w:val="2DF6D648"/>
    <w:multiLevelType w:val="hybridMultilevel"/>
    <w:lvl w:ilvl="0">
      <w:lvlJc w:val="left"/>
      <w:lvlText w:val="%1."/>
      <w:numFmt w:val="decimal"/>
      <w:start w:val="10"/>
    </w:lvl>
    <w:lvl w:ilvl="1">
      <w:lvlJc w:val="left"/>
      <w:lvlText w:val="%2"/>
      <w:numFmt w:val="lowerLetter"/>
      <w:start w:val="1"/>
    </w:lvl>
  </w:abstractNum>
  <w:abstractNum w:abstractNumId="67">
    <w:nsid w:val="46B7D44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8">
    <w:nsid w:val="4A2AC315"/>
    <w:multiLevelType w:val="hybridMultilevel"/>
    <w:lvl w:ilvl="0">
      <w:lvlJc w:val="left"/>
      <w:lvlText w:val="."/>
      <w:numFmt w:val="bullet"/>
      <w:start w:val="1"/>
    </w:lvl>
    <w:lvl w:ilvl="1">
      <w:lvlJc w:val="left"/>
      <w:lvlText w:val="%2."/>
      <w:numFmt w:val="decimal"/>
      <w:start w:val="11"/>
    </w:lvl>
    <w:lvl w:ilvl="2">
      <w:lvlJc w:val="left"/>
      <w:lvlText w:val="%3"/>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decimal"/>
      <w:start w:val="1"/>
    </w:lvl>
    <w:lvl w:ilvl="1">
      <w:lvlJc w:val="left"/>
      <w:lvlText w:val="(%2)"/>
      <w:numFmt w:val="lowerLetter"/>
      <w:start w:val="3"/>
    </w:lvl>
  </w:abstractNum>
  <w:abstractNum w:abstractNumId="71">
    <w:nsid w:val="CC1016F"/>
    <w:multiLevelType w:val="hybridMultilevel"/>
    <w:lvl w:ilvl="0">
      <w:lvlJc w:val="left"/>
      <w:lvlText w:val="%1."/>
      <w:numFmt w:val="decimal"/>
      <w:start w:val="12"/>
    </w:lvl>
    <w:lvl w:ilvl="1">
      <w:lvlJc w:val="left"/>
      <w:lvlText w:val="%2"/>
      <w:numFmt w:val="lowerLetter"/>
      <w:start w:val="1"/>
    </w:lvl>
  </w:abstractNum>
  <w:abstractNum w:abstractNumId="72">
    <w:nsid w:val="43F18422"/>
    <w:multiLevelType w:val="hybridMultilevel"/>
    <w:lvl w:ilvl="0">
      <w:lvlJc w:val="left"/>
      <w:lvlText w:val="%1."/>
      <w:numFmt w:val="decimal"/>
      <w:start w:val="13"/>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1."/>
      <w:numFmt w:val="decimal"/>
      <w:start w:val="14"/>
    </w:lvl>
  </w:abstractNum>
  <w:abstractNum w:abstractNumId="75">
    <w:nsid w:val="7F01579B"/>
    <w:multiLevelType w:val="hybridMultilevel"/>
    <w:lvl w:ilvl="0">
      <w:lvlJc w:val="left"/>
      <w:lvlText w:val="%1."/>
      <w:numFmt w:val="decimal"/>
      <w:start w:val="15"/>
    </w:lvl>
  </w:abstractNum>
  <w:abstractNum w:abstractNumId="76">
    <w:nsid w:val="49DA307D"/>
    <w:multiLevelType w:val="hybridMultilevel"/>
    <w:lvl w:ilvl="0">
      <w:lvlJc w:val="left"/>
      <w:lvlText w:val="."/>
      <w:numFmt w:val="bullet"/>
      <w:start w:val="1"/>
    </w:lvl>
    <w:lvl w:ilvl="1">
      <w:lvlJc w:val="left"/>
      <w:lvlText w:val="%2."/>
      <w:numFmt w:val="decimal"/>
      <w:start w:val="16"/>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decimal"/>
      <w:start w:val="1"/>
    </w:lvl>
    <w:lvl w:ilvl="1">
      <w:lvlJc w:val="left"/>
      <w:lvlText w:val="(%2)"/>
      <w:numFmt w:val="lowerLetter"/>
      <w:start w:val="2"/>
    </w:lvl>
  </w:abstractNum>
  <w:abstractNum w:abstractNumId="79">
    <w:nsid w:val="50801EE1"/>
    <w:multiLevelType w:val="hybridMultilevel"/>
    <w:lvl w:ilvl="0">
      <w:lvlJc w:val="left"/>
      <w:lvlText w:val="%1."/>
      <w:numFmt w:val="decimal"/>
      <w:start w:val="17"/>
    </w:lvl>
    <w:lvl w:ilvl="1">
      <w:lvlJc w:val="left"/>
      <w:lvlText w:val="%2"/>
      <w:numFmt w:val="lowerLetter"/>
      <w:start w:val="1"/>
    </w:lvl>
  </w:abstractNum>
  <w:abstractNum w:abstractNumId="80">
    <w:nsid w:val="488AC1A"/>
    <w:multiLevelType w:val="hybridMultilevel"/>
    <w:lvl w:ilvl="0">
      <w:lvlJc w:val="left"/>
      <w:lvlText w:val="%1"/>
      <w:numFmt w:val="decimal"/>
      <w:start w:val="1"/>
    </w:lvl>
    <w:lvl w:ilvl="1">
      <w:lvlJc w:val="left"/>
      <w:lvlText w:val="(%2)"/>
      <w:numFmt w:val="lowerLetter"/>
      <w:start w:val="1"/>
    </w:lvl>
  </w:abstractNum>
  <w:abstractNum w:abstractNumId="81">
    <w:nsid w:val="5FB8011C"/>
    <w:multiLevelType w:val="hybridMultilevel"/>
    <w:lvl w:ilvl="0">
      <w:lvlJc w:val="left"/>
      <w:lvlText w:val="%1."/>
      <w:numFmt w:val="decimal"/>
      <w:start w:val="18"/>
    </w:lvl>
    <w:lvl w:ilvl="1">
      <w:lvlJc w:val="left"/>
      <w:lvlText w:val="%2"/>
      <w:numFmt w:val="lowerLetter"/>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decimal"/>
      <w:start w:val="19"/>
    </w:lvl>
  </w:abstractNum>
  <w:abstractNum w:abstractNumId="84">
    <w:nsid w:val="6FC75AF8"/>
    <w:multiLevelType w:val="hybridMultilevel"/>
    <w:lvl w:ilvl="0">
      <w:lvlJc w:val="left"/>
      <w:lvlText w:val="."/>
      <w:numFmt w:val="bullet"/>
      <w:start w:val="1"/>
    </w:lvl>
    <w:lvl w:ilvl="1">
      <w:lvlJc w:val="left"/>
      <w:lvlText w:val="%2."/>
      <w:numFmt w:val="decimal"/>
      <w:start w:val="20"/>
    </w:lvl>
  </w:abstractNum>
  <w:abstractNum w:abstractNumId="85">
    <w:nsid w:val="6A5F7029"/>
    <w:multiLevelType w:val="hybridMultilevel"/>
    <w:lvl w:ilvl="0">
      <w:lvlJc w:val="left"/>
      <w:lvlText w:val="."/>
      <w:numFmt w:val="bullet"/>
      <w:start w:val="1"/>
    </w:lvl>
    <w:lvl w:ilvl="1">
      <w:lvlJc w:val="left"/>
      <w:lvlText w:val="%2."/>
      <w:numFmt w:val="decimal"/>
      <w:start w:val="21"/>
    </w:lvl>
  </w:abstractNum>
  <w:abstractNum w:abstractNumId="86">
    <w:nsid w:val="7D5E18F8"/>
    <w:multiLevelType w:val="hybridMultilevel"/>
    <w:lvl w:ilvl="0">
      <w:lvlJc w:val="left"/>
      <w:lvlText w:val="."/>
      <w:numFmt w:val="bullet"/>
      <w:start w:val="1"/>
    </w:lvl>
    <w:lvl w:ilvl="1">
      <w:lvlJc w:val="left"/>
      <w:lvlText w:val="%2."/>
      <w:numFmt w:val="decimal"/>
      <w:start w:val="22"/>
    </w:lvl>
  </w:abstractNum>
  <w:abstractNum w:abstractNumId="87">
    <w:nsid w:val="5F3534A4"/>
    <w:multiLevelType w:val="hybridMultilevel"/>
    <w:lvl w:ilvl="0">
      <w:lvlJc w:val="left"/>
      <w:lvlText w:val="(%1)"/>
      <w:numFmt w:val="lowerLetter"/>
      <w:start w:val="1"/>
    </w:lvl>
    <w:lvl w:ilvl="1">
      <w:lvlJc w:val="left"/>
      <w:lvlText w:val="(%2)"/>
      <w:numFmt w:val="lowerRoman"/>
      <w:start w:val="1"/>
    </w:lvl>
  </w:abstractNum>
  <w:abstractNum w:abstractNumId="88">
    <w:nsid w:val="73A1821B"/>
    <w:multiLevelType w:val="hybridMultilevel"/>
    <w:lvl w:ilvl="0">
      <w:lvlJc w:val="left"/>
      <w:lvlText w:val="%1."/>
      <w:numFmt w:val="decimal"/>
      <w:start w:val="23"/>
    </w:lvl>
  </w:abstractNum>
  <w:abstractNum w:abstractNumId="89">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0">
    <w:nsid w:val="555C55B5"/>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decimal"/>
      <w:start w:val="1"/>
    </w:lvl>
    <w:lvl w:ilvl="1">
      <w:lvlJc w:val="left"/>
      <w:lvlText w:val="(%2)"/>
      <w:numFmt w:val="lowerLetter"/>
      <w:start w:val="4"/>
    </w:lvl>
  </w:abstractNum>
  <w:abstractNum w:abstractNumId="93">
    <w:nsid w:val="6A3DD3E8"/>
    <w:multiLevelType w:val="hybridMultilevel"/>
    <w:lvl w:ilvl="0">
      <w:lvlJc w:val="left"/>
      <w:lvlText w:val="%1."/>
      <w:numFmt w:val="decimal"/>
      <w:start w:val="25"/>
    </w:lvl>
    <w:lvl w:ilvl="1">
      <w:lvlJc w:val="left"/>
      <w:lvlText w:val="%2"/>
      <w:numFmt w:val="lowerLetter"/>
      <w:start w:val="1"/>
    </w:lvl>
  </w:abstractNum>
  <w:abstractNum w:abstractNumId="94">
    <w:nsid w:val="71C91298"/>
    <w:multiLevelType w:val="hybridMultilevel"/>
    <w:lvl w:ilvl="0">
      <w:lvlJc w:val="left"/>
      <w:lvlText w:val="."/>
      <w:numFmt w:val="bullet"/>
      <w:start w:val="1"/>
    </w:lvl>
    <w:lvl w:ilvl="1">
      <w:lvlJc w:val="left"/>
      <w:lvlText w:val="%2."/>
      <w:numFmt w:val="decimal"/>
      <w:start w:val="26"/>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1."/>
      <w:numFmt w:val="decimal"/>
      <w:start w:val="27"/>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5"/>
    </w:lvl>
    <w:lvl w:ilvl="1">
      <w:lvlJc w:val="left"/>
      <w:lvlText w:val="*"/>
      <w:numFmt w:val="bullet"/>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decimal"/>
      <w:start w:val="3"/>
    </w:lvl>
    <w:lvl w:ilvl="1">
      <w:lvlJc w:val="left"/>
      <w:lvlText w:val="%2."/>
      <w:numFmt w:val="lowerLetter"/>
      <w:start w:val="1"/>
    </w:lvl>
  </w:abstractNum>
  <w:abstractNum w:abstractNumId="101">
    <w:nsid w:val="288F1A34"/>
    <w:multiLevelType w:val="hybridMultilevel"/>
    <w:lvl w:ilvl="0">
      <w:lvlJc w:val="left"/>
      <w:lvlText w:val="%1"/>
      <w:numFmt w:val="decimal"/>
      <w:start w:val="1"/>
    </w:lvl>
    <w:lvl w:ilvl="1">
      <w:lvlJc w:val="left"/>
      <w:lvlText w:val="%2."/>
      <w:numFmt w:val="lowerLetter"/>
      <w:start w:val="3"/>
    </w:lvl>
  </w:abstractNum>
  <w:abstractNum w:abstractNumId="102">
    <w:nsid w:val="2A155DBC"/>
    <w:multiLevelType w:val="hybridMultilevel"/>
    <w:lvl w:ilvl="0">
      <w:lvlJc w:val="left"/>
      <w:lvlText w:val="%1."/>
      <w:numFmt w:val="decimal"/>
      <w:start w:val="5"/>
    </w:lvl>
    <w:lvl w:ilvl="1">
      <w:lvlJc w:val="left"/>
      <w:lvlText w:val="%2."/>
      <w:numFmt w:val="lowerLetter"/>
      <w:start w:val="1"/>
    </w:lvl>
  </w:abstractNum>
  <w:abstractNum w:abstractNumId="103">
    <w:nsid w:val="1D9F6E5F"/>
    <w:multiLevelType w:val="hybridMultilevel"/>
    <w:lvl w:ilvl="0">
      <w:lvlJc w:val="left"/>
      <w:lvlText w:val="%1."/>
      <w:numFmt w:val="decimal"/>
      <w:start w:val="7"/>
    </w:lvl>
    <w:lvl w:ilvl="1">
      <w:lvlJc w:val="left"/>
      <w:lvlText w:val="%2"/>
      <w:numFmt w:val="lowerLetter"/>
      <w:start w:val="1"/>
    </w:lvl>
  </w:abstractNum>
  <w:abstractNum w:abstractNumId="104">
    <w:nsid w:val="97E1B4E"/>
    <w:multiLevelType w:val="hybridMultilevel"/>
    <w:lvl w:ilvl="0">
      <w:lvlJc w:val="left"/>
      <w:lvlText w:val="%1"/>
      <w:numFmt w:val="decimal"/>
      <w:start w:val="1"/>
    </w:lvl>
    <w:lvl w:ilvl="1">
      <w:lvlJc w:val="left"/>
      <w:lvlText w:val="%2."/>
      <w:numFmt w:val="lowerLetter"/>
      <w:start w:val="2"/>
    </w:lvl>
  </w:abstractNum>
  <w:abstractNum w:abstractNumId="105">
    <w:nsid w:val="51088277"/>
    <w:multiLevelType w:val="hybridMultilevel"/>
    <w:lvl w:ilvl="0">
      <w:lvlJc w:val="left"/>
      <w:lvlText w:val="%1."/>
      <w:numFmt w:val="decimal"/>
      <w:start w:val="8"/>
    </w:lvl>
    <w:lvl w:ilvl="1">
      <w:lvlJc w:val="left"/>
      <w:lvlText w:val="%2."/>
      <w:numFmt w:val="low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3"/>
    </w:lvl>
  </w:abstractNum>
  <w:abstractNum w:abstractNumId="107">
    <w:nsid w:val="53584BCB"/>
    <w:multiLevelType w:val="hybridMultilevel"/>
    <w:lvl w:ilvl="0">
      <w:lvlJc w:val="left"/>
      <w:lvlText w:val="%1."/>
      <w:numFmt w:val="decimal"/>
      <w:start w:val="9"/>
    </w:lvl>
    <w:lvl w:ilvl="1">
      <w:lvlJc w:val="left"/>
      <w:lvlText w:val="%2."/>
      <w:numFmt w:val="lowerLetter"/>
      <w:start w:val="1"/>
    </w:lvl>
  </w:abstractNum>
  <w:abstractNum w:abstractNumId="108">
    <w:nsid w:val="415E286C"/>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109">
    <w:nsid w:val="7C58FD05"/>
    <w:multiLevelType w:val="hybridMultilevel"/>
    <w:lvl w:ilvl="0">
      <w:lvlJc w:val="left"/>
      <w:lvlText w:val="%1"/>
      <w:numFmt w:val="decimal"/>
      <w:start w:val="1"/>
    </w:lvl>
    <w:lvl w:ilvl="1">
      <w:lvlJc w:val="left"/>
      <w:lvlText w:val="%2."/>
      <w:numFmt w:val="lowerLetter"/>
      <w:start w:val="3"/>
    </w:lvl>
  </w:abstractNum>
  <w:abstractNum w:abstractNumId="110">
    <w:nsid w:val="23D86AAC"/>
    <w:multiLevelType w:val="hybridMultilevel"/>
    <w:lvl w:ilvl="0">
      <w:lvlJc w:val="left"/>
      <w:lvlText w:val="%1."/>
      <w:numFmt w:val="decimal"/>
      <w:start w:val="16"/>
    </w:lvl>
    <w:lvl w:ilvl="1">
      <w:lvlJc w:val="left"/>
      <w:lvlText w:val="%2"/>
      <w:numFmt w:val="lowerLetter"/>
      <w:start w:val="1"/>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decimal"/>
      <w:start w:val="1"/>
    </w:lvl>
    <w:lvl w:ilvl="1">
      <w:lvlJc w:val="left"/>
      <w:lvlText w:val="(%2)"/>
      <w:numFmt w:val="decimal"/>
      <w:start w:val="1"/>
    </w:lvl>
  </w:abstractNum>
  <w:abstractNum w:abstractNumId="113">
    <w:nsid w:val="E7FFA2B"/>
    <w:multiLevelType w:val="hybridMultilevel"/>
    <w:lvl w:ilvl="0">
      <w:lvlJc w:val="left"/>
      <w:lvlText w:val="%1."/>
      <w:numFmt w:val="decimal"/>
      <w:start w:val="1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2021-03-19T08:54:49Z</dcterms:created>
  <dcterms:modified xsi:type="dcterms:W3CDTF">2021-03-19T08:54:49Z</dcterms:modified>
</cp:coreProperties>
</file>