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E.W. SCRIPPS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4,192,722.00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4,192,722.00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4,192,722.00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4,192,722.00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4,192,722.00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4,192,722.00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4,192,722.00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4,192,722.00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4,192,722.00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E.W. SCRIPPS Co</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312 Walnut Street, Cincinnati, OH 45202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class A common stock, par value $0.01 per share ("Class A Common Stock"), of E.W. Scripps Co held by Point72 Associates, LLC, an investment fund it manages ("Point72 Associates"); (ii) Point72 Capital Advisors, Inc. ("Point72 Capital Advisors Inc.") with respect to the Class A Common Stock held by Point72 Associates; and (iii) Steven A. Cohen ("Mr. Cohen") with respect to the Class A Common Stock beneficially owned by Point72 Asset Management and Point72 Capital Advisors Inc. Each of Cubist Systematic Strategies, LLC, Point72 (DIFC) Limited and Point72 Europe (London) LLP are relying advisers on the Form ADV of Point72 Asset Management and each acts as a sub-advisor with respect to a portion of the shares of Class A Common Stock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October 2, 2026. Point72 Asset Management, Point72 Capital Advisors Inc., and Mr. Cohen own directly no Class A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October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October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October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October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106802_99-1.htm"/>
      <w:bookmarkStart w:id="25" w:name="ksp15106802_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2195" w:type="dxa"/>
        <w:jc w:val="left"/>
        <w:tblInd w:w="0" w:type="dxa"/>
        <w:tblLayout w:type="fixed"/>
        <w:tblCellMar>
          <w:top w:w="0" w:type="dxa"/>
          <w:left w:w="0" w:type="dxa"/>
          <w:bottom w:w="0" w:type="dxa"/>
          <w:right w:w="0" w:type="dxa"/>
        </w:tblCellMar>
      </w:tblPr>
      <w:tblGrid>
        <w:gridCol w:w="2120"/>
        <w:gridCol w:w="75"/>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October 5,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340"/>
        <w:gridCol w:w="75"/>
      </w:tblGrid>
      <w:tr>
        <w:trPr/>
        <w:tc>
          <w:tcPr>
            <w:tcW w:w="4340" w:type="dxa"/>
            <w:tcBorders/>
            <w:vAlign w:val="center"/>
          </w:tcPr>
          <w:p>
            <w:pPr>
              <w:pStyle w:val="TableContents"/>
              <w:bidi w:val="0"/>
              <w:spacing w:before="0" w:after="283"/>
              <w:jc w:val="left"/>
              <w:rPr>
                <w:b/>
              </w:rPr>
            </w:pPr>
            <w:r>
              <w:rPr>
                <w:b/>
              </w:rPr>
              <w:t>POINT72 ASSET MANAGEMENT, L.P.</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b/>
                <w:caps/>
              </w:rPr>
            </w:pPr>
            <w:r>
              <w:rPr>
                <w:b/>
                <w:caps/>
              </w:rPr>
              <w:t>POINT72 CAPITAL ADVISORS, INC.</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b/>
                <w:caps/>
              </w:rPr>
            </w:pPr>
            <w:r>
              <w:rPr>
                <w:b/>
                <w:caps/>
              </w:rPr>
              <w:t>STEVEN A. COHEN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1839</Words>
  <Characters>9358</Characters>
  <CharactersWithSpaces>11164</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